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E94AB">
      <w:pPr>
        <w:pStyle w:val="2"/>
        <w:spacing w:before="154" w:line="188" w:lineRule="auto"/>
        <w:ind w:left="1199"/>
        <w:outlineLvl w:val="0"/>
        <w:rPr>
          <w:sz w:val="35"/>
          <w:szCs w:val="35"/>
        </w:rPr>
      </w:pPr>
      <w:r>
        <w:rPr>
          <w:spacing w:val="6"/>
          <w:sz w:val="35"/>
          <w:szCs w:val="35"/>
        </w:rPr>
        <w:t>2022 年度祁阳市卫生健康局部门决算</w:t>
      </w:r>
    </w:p>
    <w:p w14:paraId="5C17609F">
      <w:pPr>
        <w:spacing w:line="269" w:lineRule="auto"/>
        <w:rPr>
          <w:rFonts w:ascii="Arial"/>
          <w:sz w:val="21"/>
        </w:rPr>
      </w:pPr>
    </w:p>
    <w:p w14:paraId="182F7513">
      <w:pPr>
        <w:spacing w:line="269" w:lineRule="auto"/>
        <w:rPr>
          <w:rFonts w:ascii="Arial"/>
          <w:sz w:val="21"/>
        </w:rPr>
      </w:pPr>
    </w:p>
    <w:p w14:paraId="3499B462">
      <w:pPr>
        <w:spacing w:line="270" w:lineRule="auto"/>
        <w:rPr>
          <w:rFonts w:ascii="Arial"/>
          <w:sz w:val="21"/>
        </w:rPr>
      </w:pPr>
    </w:p>
    <w:p w14:paraId="705BCA2A">
      <w:pPr>
        <w:pStyle w:val="2"/>
        <w:spacing w:before="120" w:line="361" w:lineRule="auto"/>
        <w:ind w:left="435" w:right="3675" w:firstLine="3693"/>
      </w:pPr>
      <w:r>
        <w:rPr>
          <w:b/>
          <w:bCs/>
          <w:color w:val="666666"/>
          <w:spacing w:val="-19"/>
        </w:rPr>
        <w:t>目录</w:t>
      </w:r>
      <w:r>
        <w:rPr>
          <w:color w:val="666666"/>
        </w:rPr>
        <w:t xml:space="preserve"> </w:t>
      </w:r>
      <w:r>
        <w:rPr>
          <w:b/>
          <w:bCs/>
          <w:color w:val="666666"/>
          <w:spacing w:val="-3"/>
        </w:rPr>
        <w:t>第一部分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祁阳市卫生健康局概况</w:t>
      </w:r>
    </w:p>
    <w:p w14:paraId="0B38C626">
      <w:pPr>
        <w:pStyle w:val="2"/>
        <w:spacing w:before="1" w:line="183" w:lineRule="auto"/>
        <w:ind w:left="438"/>
      </w:pPr>
      <w:r>
        <w:rPr>
          <w:color w:val="666666"/>
          <w:spacing w:val="-1"/>
        </w:rPr>
        <w:t>一、部门职责</w:t>
      </w:r>
    </w:p>
    <w:p w14:paraId="615C18A3">
      <w:pPr>
        <w:pStyle w:val="2"/>
        <w:spacing w:before="361" w:line="184" w:lineRule="auto"/>
        <w:ind w:left="442"/>
      </w:pPr>
      <w:r>
        <w:rPr>
          <w:color w:val="666666"/>
          <w:spacing w:val="-1"/>
        </w:rPr>
        <w:t>二</w:t>
      </w:r>
      <w:r>
        <w:rPr>
          <w:color w:val="666666"/>
          <w:spacing w:val="-2"/>
        </w:rPr>
        <w:t>、机构设置及决算单位构成</w:t>
      </w:r>
      <w:bookmarkStart w:id="0" w:name="_GoBack"/>
      <w:bookmarkEnd w:id="0"/>
    </w:p>
    <w:p w14:paraId="4FF991AB">
      <w:pPr>
        <w:pStyle w:val="2"/>
        <w:spacing w:before="177" w:line="552" w:lineRule="exact"/>
        <w:ind w:firstLine="434"/>
      </w:pPr>
      <w:r>
        <w:rPr>
          <w:position w:val="-11"/>
        </w:rPr>
        <w:pict>
          <v:shape id="_x0000_s1026" o:spid="_x0000_s1026" o:spt="202" type="#_x0000_t202" style="height:27.65pt;width:130.25pt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 w14:paraId="48E6F759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第二部分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部门决算表</w:t>
                  </w:r>
                </w:p>
              </w:txbxContent>
            </v:textbox>
            <w10:wrap type="none"/>
            <w10:anchorlock/>
          </v:shape>
        </w:pict>
      </w:r>
    </w:p>
    <w:p w14:paraId="6D9189CC">
      <w:pPr>
        <w:rPr>
          <w:rFonts w:ascii="Arial"/>
          <w:sz w:val="21"/>
        </w:rPr>
      </w:pPr>
    </w:p>
    <w:p w14:paraId="790532FD">
      <w:pPr>
        <w:pStyle w:val="2"/>
        <w:spacing w:before="120" w:line="184" w:lineRule="auto"/>
        <w:ind w:left="438"/>
      </w:pPr>
      <w:r>
        <w:rPr>
          <w:color w:val="666666"/>
          <w:spacing w:val="-1"/>
        </w:rPr>
        <w:t>一、收入支出决算总表</w:t>
      </w:r>
    </w:p>
    <w:p w14:paraId="05656E22">
      <w:pPr>
        <w:pStyle w:val="2"/>
        <w:spacing w:before="358" w:line="184" w:lineRule="auto"/>
        <w:ind w:left="442"/>
      </w:pPr>
      <w:r>
        <w:rPr>
          <w:color w:val="666666"/>
          <w:spacing w:val="-2"/>
        </w:rPr>
        <w:t>二、收入决算表</w:t>
      </w:r>
    </w:p>
    <w:p w14:paraId="354EE9FE">
      <w:pPr>
        <w:pStyle w:val="2"/>
        <w:spacing w:before="361" w:line="184" w:lineRule="auto"/>
        <w:ind w:left="442"/>
      </w:pPr>
      <w:r>
        <w:rPr>
          <w:color w:val="666666"/>
          <w:spacing w:val="-2"/>
        </w:rPr>
        <w:t>三、支出决算表</w:t>
      </w:r>
    </w:p>
    <w:p w14:paraId="443B5F52">
      <w:pPr>
        <w:pStyle w:val="2"/>
        <w:spacing w:before="362" w:line="184" w:lineRule="auto"/>
        <w:ind w:left="459"/>
      </w:pPr>
      <w:r>
        <w:rPr>
          <w:color w:val="666666"/>
          <w:spacing w:val="-2"/>
        </w:rPr>
        <w:t>四、财政拨款收入支出决算总表</w:t>
      </w:r>
    </w:p>
    <w:p w14:paraId="1EB4714A">
      <w:pPr>
        <w:pStyle w:val="2"/>
        <w:spacing w:before="361" w:line="184" w:lineRule="auto"/>
        <w:ind w:left="439"/>
      </w:pPr>
      <w:r>
        <w:rPr>
          <w:color w:val="666666"/>
          <w:spacing w:val="-1"/>
        </w:rPr>
        <w:t>五、一般公共预算财政拨款支出决算表</w:t>
      </w:r>
    </w:p>
    <w:p w14:paraId="38DB8C83">
      <w:pPr>
        <w:pStyle w:val="2"/>
        <w:spacing w:before="359" w:line="184" w:lineRule="auto"/>
        <w:ind w:left="441"/>
      </w:pPr>
      <w:r>
        <w:rPr>
          <w:color w:val="666666"/>
          <w:spacing w:val="-1"/>
        </w:rPr>
        <w:t>六、一般公共预算财政拨款基本支出决算明细表</w:t>
      </w:r>
    </w:p>
    <w:p w14:paraId="73D0955F">
      <w:pPr>
        <w:pStyle w:val="2"/>
        <w:spacing w:before="361" w:line="184" w:lineRule="auto"/>
        <w:ind w:left="441"/>
      </w:pPr>
      <w:r>
        <w:rPr>
          <w:color w:val="666666"/>
          <w:spacing w:val="-1"/>
        </w:rPr>
        <w:t>七、政府性基金预算财政拨款收入支出决算表</w:t>
      </w:r>
    </w:p>
    <w:p w14:paraId="020E8711">
      <w:pPr>
        <w:pStyle w:val="2"/>
        <w:spacing w:before="361" w:line="184" w:lineRule="auto"/>
        <w:ind w:left="436"/>
      </w:pPr>
      <w:r>
        <w:rPr>
          <w:color w:val="666666"/>
          <w:spacing w:val="-1"/>
        </w:rPr>
        <w:t>八、国有资本经营预算财政拨款支出决算表</w:t>
      </w:r>
    </w:p>
    <w:p w14:paraId="31A367AD">
      <w:pPr>
        <w:pStyle w:val="2"/>
        <w:spacing w:before="362" w:line="184" w:lineRule="auto"/>
        <w:ind w:left="438"/>
      </w:pPr>
      <w:r>
        <w:rPr>
          <w:color w:val="666666"/>
          <w:spacing w:val="-1"/>
        </w:rPr>
        <w:t>九、财政拨款“三公”经费支出决算表</w:t>
      </w:r>
    </w:p>
    <w:p w14:paraId="72D918D4">
      <w:pPr>
        <w:pStyle w:val="2"/>
        <w:spacing w:before="176" w:line="552" w:lineRule="exact"/>
        <w:ind w:firstLine="434"/>
        <w:rPr>
          <w:highlight w:val="none"/>
        </w:rPr>
      </w:pPr>
      <w:r>
        <w:rPr>
          <w:position w:val="-11"/>
          <w:highlight w:val="none"/>
        </w:rPr>
        <w:pict>
          <v:shape id="_x0000_s1027" o:spid="_x0000_s1027" o:spt="202" type="#_x0000_t202" style="height:27.6pt;width:172.25pt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 w14:paraId="182B6D6D">
                  <w:pPr>
                    <w:spacing w:before="182" w:line="185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第三部分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666666"/>
                      <w:spacing w:val="-3"/>
                      <w:sz w:val="28"/>
                      <w:szCs w:val="28"/>
                    </w:rPr>
                    <w:t>部门决算情况说明</w:t>
                  </w:r>
                </w:p>
              </w:txbxContent>
            </v:textbox>
            <w10:wrap type="none"/>
            <w10:anchorlock/>
          </v:shape>
        </w:pict>
      </w:r>
    </w:p>
    <w:p w14:paraId="76E5C655">
      <w:pPr>
        <w:rPr>
          <w:rFonts w:ascii="Arial"/>
          <w:sz w:val="21"/>
        </w:rPr>
      </w:pPr>
    </w:p>
    <w:p w14:paraId="6B4FEDB3">
      <w:pPr>
        <w:pStyle w:val="2"/>
        <w:spacing w:before="121" w:line="183" w:lineRule="auto"/>
        <w:ind w:left="438"/>
      </w:pPr>
      <w:r>
        <w:rPr>
          <w:color w:val="666666"/>
          <w:spacing w:val="-1"/>
        </w:rPr>
        <w:t>一、收入支出决算总体情况说明</w:t>
      </w:r>
    </w:p>
    <w:p w14:paraId="04A9D438">
      <w:pPr>
        <w:spacing w:line="241" w:lineRule="auto"/>
        <w:rPr>
          <w:rFonts w:ascii="Arial"/>
          <w:sz w:val="21"/>
        </w:rPr>
      </w:pPr>
    </w:p>
    <w:p w14:paraId="3058EF8D">
      <w:pPr>
        <w:pStyle w:val="2"/>
        <w:spacing w:before="121" w:line="183" w:lineRule="auto"/>
        <w:ind w:left="442"/>
      </w:pPr>
      <w:r>
        <w:rPr>
          <w:color w:val="666666"/>
          <w:spacing w:val="-1"/>
        </w:rPr>
        <w:t>二、收入决算情况说明</w:t>
      </w:r>
    </w:p>
    <w:p w14:paraId="7C6B5EC0">
      <w:pPr>
        <w:spacing w:line="183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1BDE009">
      <w:pPr>
        <w:pStyle w:val="2"/>
        <w:spacing w:before="194" w:line="183" w:lineRule="auto"/>
        <w:ind w:left="442"/>
      </w:pPr>
      <w:r>
        <w:rPr>
          <w:color w:val="666666"/>
          <w:spacing w:val="-1"/>
        </w:rPr>
        <w:t>三、支出决算情况说明</w:t>
      </w:r>
    </w:p>
    <w:p w14:paraId="6FFB7433">
      <w:pPr>
        <w:spacing w:line="241" w:lineRule="auto"/>
        <w:rPr>
          <w:rFonts w:ascii="Arial"/>
          <w:sz w:val="21"/>
        </w:rPr>
      </w:pPr>
    </w:p>
    <w:p w14:paraId="21EE3F71">
      <w:pPr>
        <w:pStyle w:val="2"/>
        <w:spacing w:before="120" w:line="183" w:lineRule="auto"/>
        <w:ind w:left="459"/>
      </w:pPr>
      <w:r>
        <w:rPr>
          <w:color w:val="666666"/>
          <w:spacing w:val="-2"/>
        </w:rPr>
        <w:t>四、财政拨款收入支出决算总体情况说明</w:t>
      </w:r>
    </w:p>
    <w:p w14:paraId="5D4931B8">
      <w:pPr>
        <w:spacing w:line="241" w:lineRule="auto"/>
        <w:rPr>
          <w:rFonts w:ascii="Arial"/>
          <w:sz w:val="21"/>
        </w:rPr>
      </w:pPr>
    </w:p>
    <w:p w14:paraId="6B8D4AE8">
      <w:pPr>
        <w:pStyle w:val="2"/>
        <w:spacing w:before="120" w:line="183" w:lineRule="auto"/>
        <w:ind w:left="439"/>
      </w:pPr>
      <w:r>
        <w:rPr>
          <w:color w:val="666666"/>
          <w:spacing w:val="-1"/>
        </w:rPr>
        <w:t>五、一般公共预算财政拨款支出决算情况说明</w:t>
      </w:r>
    </w:p>
    <w:p w14:paraId="085E50EE">
      <w:pPr>
        <w:pStyle w:val="2"/>
        <w:spacing w:before="360" w:line="183" w:lineRule="auto"/>
        <w:ind w:left="441"/>
      </w:pPr>
      <w:r>
        <w:rPr>
          <w:color w:val="666666"/>
          <w:spacing w:val="-1"/>
        </w:rPr>
        <w:t>六、一般公共预算财政拨款基本支出决算情况说明</w:t>
      </w:r>
    </w:p>
    <w:p w14:paraId="403A305A">
      <w:pPr>
        <w:spacing w:line="241" w:lineRule="auto"/>
        <w:rPr>
          <w:rFonts w:ascii="Arial"/>
          <w:sz w:val="21"/>
        </w:rPr>
      </w:pPr>
    </w:p>
    <w:p w14:paraId="18730ECA">
      <w:pPr>
        <w:pStyle w:val="2"/>
        <w:spacing w:before="121" w:line="183" w:lineRule="auto"/>
        <w:ind w:left="441"/>
      </w:pPr>
      <w:r>
        <w:rPr>
          <w:color w:val="666666"/>
          <w:spacing w:val="-1"/>
        </w:rPr>
        <w:t>七、财政拨款三公经费支出决算情况说明</w:t>
      </w:r>
    </w:p>
    <w:p w14:paraId="7AE8C823">
      <w:pPr>
        <w:pStyle w:val="2"/>
        <w:spacing w:before="361" w:line="184" w:lineRule="auto"/>
        <w:ind w:left="436"/>
      </w:pPr>
      <w:r>
        <w:rPr>
          <w:color w:val="666666"/>
          <w:spacing w:val="-1"/>
        </w:rPr>
        <w:t>八、政府性基金预算收入支出决算情况</w:t>
      </w:r>
    </w:p>
    <w:p w14:paraId="0C381683">
      <w:pPr>
        <w:spacing w:line="241" w:lineRule="auto"/>
        <w:rPr>
          <w:rFonts w:ascii="Arial"/>
          <w:sz w:val="21"/>
        </w:rPr>
      </w:pPr>
    </w:p>
    <w:p w14:paraId="40A159C9">
      <w:pPr>
        <w:pStyle w:val="2"/>
        <w:spacing w:before="121" w:line="183" w:lineRule="auto"/>
        <w:ind w:left="438"/>
      </w:pPr>
      <w:r>
        <w:rPr>
          <w:color w:val="666666"/>
          <w:spacing w:val="-1"/>
        </w:rPr>
        <w:t>九、关于机关运行经费支出说明</w:t>
      </w:r>
    </w:p>
    <w:p w14:paraId="09568A14">
      <w:pPr>
        <w:pStyle w:val="2"/>
        <w:spacing w:before="361" w:line="183" w:lineRule="auto"/>
        <w:ind w:left="440"/>
      </w:pPr>
      <w:r>
        <w:rPr>
          <w:color w:val="666666"/>
          <w:spacing w:val="-1"/>
        </w:rPr>
        <w:t>十、一般性支出情况说明</w:t>
      </w:r>
    </w:p>
    <w:p w14:paraId="6979CA0B">
      <w:pPr>
        <w:pStyle w:val="2"/>
        <w:spacing w:before="361" w:line="184" w:lineRule="auto"/>
        <w:ind w:left="440"/>
      </w:pPr>
      <w:r>
        <w:rPr>
          <w:color w:val="666666"/>
          <w:spacing w:val="-1"/>
        </w:rPr>
        <w:t>十一、关于政府采购支出说明</w:t>
      </w:r>
    </w:p>
    <w:p w14:paraId="15E40087">
      <w:pPr>
        <w:pStyle w:val="2"/>
        <w:spacing w:before="362" w:line="184" w:lineRule="auto"/>
        <w:ind w:left="440"/>
      </w:pPr>
      <w:r>
        <w:rPr>
          <w:color w:val="666666"/>
          <w:spacing w:val="-1"/>
        </w:rPr>
        <w:t>十二、关于国有资产占用情况说明</w:t>
      </w:r>
    </w:p>
    <w:p w14:paraId="1BE21DEB">
      <w:pPr>
        <w:pStyle w:val="2"/>
        <w:spacing w:before="361" w:line="184" w:lineRule="auto"/>
        <w:ind w:left="440"/>
      </w:pPr>
      <w:r>
        <w:rPr>
          <w:color w:val="666666"/>
          <w:spacing w:val="-1"/>
        </w:rPr>
        <w:t>十三、关于</w:t>
      </w:r>
      <w:r>
        <w:rPr>
          <w:rFonts w:hint="eastAsia"/>
          <w:color w:val="666666"/>
          <w:spacing w:val="-1"/>
          <w:lang w:val="en-US" w:eastAsia="zh-CN"/>
        </w:rPr>
        <w:t>2022年</w:t>
      </w:r>
      <w:r>
        <w:rPr>
          <w:color w:val="666666"/>
          <w:spacing w:val="-1"/>
        </w:rPr>
        <w:t>预算绩效情况的说明</w:t>
      </w:r>
    </w:p>
    <w:p w14:paraId="540E33C0">
      <w:pPr>
        <w:pStyle w:val="2"/>
        <w:spacing w:before="361" w:line="363" w:lineRule="auto"/>
        <w:ind w:left="435" w:right="5576"/>
      </w:pPr>
      <w:r>
        <w:rPr>
          <w:b/>
          <w:bCs/>
          <w:color w:val="666666"/>
          <w:spacing w:val="-3"/>
        </w:rPr>
        <w:t>第四部分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名词解释</w:t>
      </w:r>
      <w:r>
        <w:rPr>
          <w:color w:val="666666"/>
          <w:spacing w:val="1"/>
        </w:rPr>
        <w:t xml:space="preserve"> </w:t>
      </w:r>
      <w:r>
        <w:rPr>
          <w:b/>
          <w:bCs/>
          <w:color w:val="666666"/>
          <w:spacing w:val="-6"/>
        </w:rPr>
        <w:t>第五部分</w:t>
      </w:r>
      <w:r>
        <w:rPr>
          <w:color w:val="666666"/>
          <w:spacing w:val="17"/>
        </w:rPr>
        <w:t xml:space="preserve"> </w:t>
      </w:r>
      <w:r>
        <w:rPr>
          <w:b/>
          <w:bCs/>
          <w:color w:val="666666"/>
          <w:spacing w:val="-6"/>
        </w:rPr>
        <w:t>附件</w:t>
      </w:r>
    </w:p>
    <w:p w14:paraId="55F76D51">
      <w:pPr>
        <w:spacing w:line="363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A72F4B9">
      <w:pPr>
        <w:pStyle w:val="2"/>
        <w:spacing w:before="194" w:line="183" w:lineRule="auto"/>
        <w:ind w:left="3819"/>
        <w:outlineLvl w:val="0"/>
      </w:pPr>
      <w:r>
        <w:rPr>
          <w:b/>
          <w:bCs/>
          <w:color w:val="666666"/>
          <w:spacing w:val="-3"/>
        </w:rPr>
        <w:t>第一部分</w:t>
      </w:r>
    </w:p>
    <w:p w14:paraId="45E426A8">
      <w:pPr>
        <w:spacing w:line="241" w:lineRule="auto"/>
        <w:rPr>
          <w:rFonts w:ascii="Arial"/>
          <w:sz w:val="21"/>
        </w:rPr>
      </w:pPr>
    </w:p>
    <w:p w14:paraId="270F3223">
      <w:pPr>
        <w:pStyle w:val="2"/>
        <w:spacing w:before="120" w:line="184" w:lineRule="auto"/>
        <w:ind w:left="2981"/>
        <w:outlineLvl w:val="0"/>
      </w:pPr>
      <w:r>
        <w:rPr>
          <w:b/>
          <w:bCs/>
          <w:color w:val="666666"/>
          <w:spacing w:val="-4"/>
        </w:rPr>
        <w:t>祁阳市卫生健康局概况</w:t>
      </w:r>
    </w:p>
    <w:p w14:paraId="59CA8AAE">
      <w:pPr>
        <w:pStyle w:val="2"/>
        <w:spacing w:before="360" w:line="184" w:lineRule="auto"/>
        <w:ind w:left="581"/>
        <w:outlineLvl w:val="1"/>
      </w:pPr>
      <w:r>
        <w:rPr>
          <w:b/>
          <w:bCs/>
          <w:color w:val="666666"/>
          <w:spacing w:val="-5"/>
        </w:rPr>
        <w:t>一、</w:t>
      </w:r>
      <w:r>
        <w:rPr>
          <w:color w:val="666666"/>
          <w:spacing w:val="62"/>
        </w:rPr>
        <w:t xml:space="preserve"> </w:t>
      </w:r>
      <w:r>
        <w:rPr>
          <w:b/>
          <w:bCs/>
          <w:color w:val="666666"/>
          <w:spacing w:val="-5"/>
        </w:rPr>
        <w:t>部门职责</w:t>
      </w:r>
    </w:p>
    <w:p w14:paraId="3EA21597">
      <w:pPr>
        <w:pStyle w:val="2"/>
        <w:spacing w:before="361" w:line="311" w:lineRule="auto"/>
        <w:ind w:left="16" w:firstLine="581"/>
        <w:jc w:val="both"/>
      </w:pPr>
      <w:r>
        <w:rPr>
          <w:color w:val="666666"/>
          <w:spacing w:val="-3"/>
        </w:rPr>
        <w:t>1.贯彻执行国民健康政策及国家、省、市卫生健康法律法规及规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10"/>
        </w:rPr>
        <w:t>章，拟订全市卫生健康政策、规划、地方标准和技术规范并组织实施。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3"/>
        </w:rPr>
        <w:t>统筹规划全市卫生健康服务资源配置，指导全市卫生</w:t>
      </w:r>
      <w:r>
        <w:rPr>
          <w:color w:val="666666"/>
          <w:spacing w:val="-4"/>
        </w:rPr>
        <w:t>健康规划的编制</w:t>
      </w:r>
      <w:r>
        <w:rPr>
          <w:color w:val="666666"/>
        </w:rPr>
        <w:t xml:space="preserve">  </w:t>
      </w:r>
      <w:r>
        <w:rPr>
          <w:color w:val="666666"/>
          <w:spacing w:val="-10"/>
        </w:rPr>
        <w:t>和实施。制定并组织实施推进卫生健康基本公共服务均等化、普惠化、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1"/>
        </w:rPr>
        <w:t>便捷化和公共资源向基层延伸等政策措施。</w:t>
      </w:r>
    </w:p>
    <w:p w14:paraId="0654FAE8">
      <w:pPr>
        <w:pStyle w:val="2"/>
        <w:spacing w:before="112" w:line="311" w:lineRule="auto"/>
        <w:ind w:left="17" w:right="85" w:firstLine="570"/>
        <w:jc w:val="both"/>
      </w:pPr>
      <w:r>
        <w:rPr>
          <w:color w:val="666666"/>
          <w:spacing w:val="-2"/>
        </w:rPr>
        <w:t>2.协调推进全市深化医药卫生体制改革，研究提出全市深化</w:t>
      </w:r>
      <w:r>
        <w:rPr>
          <w:color w:val="666666"/>
          <w:spacing w:val="-3"/>
        </w:rPr>
        <w:t>医药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卫生体制改革政策与措施的建议。组织深化公立医</w:t>
      </w:r>
      <w:r>
        <w:rPr>
          <w:color w:val="666666"/>
          <w:spacing w:val="-4"/>
        </w:rPr>
        <w:t>院综合改革，推进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管办分离，健全现代医院管理制度，制定并组织实</w:t>
      </w:r>
      <w:r>
        <w:rPr>
          <w:color w:val="666666"/>
          <w:spacing w:val="-4"/>
        </w:rPr>
        <w:t>施推动卫生健康公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共服务提供主体多元化、提供方式多样化的政策措</w:t>
      </w:r>
      <w:r>
        <w:rPr>
          <w:color w:val="666666"/>
          <w:spacing w:val="-4"/>
        </w:rPr>
        <w:t>施，提出医疗服务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和药品价格政策的建议。</w:t>
      </w:r>
    </w:p>
    <w:p w14:paraId="6E0AF051">
      <w:pPr>
        <w:pStyle w:val="2"/>
        <w:spacing w:before="112" w:line="311" w:lineRule="auto"/>
        <w:ind w:left="17" w:right="45" w:firstLine="575"/>
        <w:jc w:val="both"/>
      </w:pPr>
      <w:r>
        <w:rPr>
          <w:color w:val="666666"/>
          <w:spacing w:val="-2"/>
        </w:rPr>
        <w:t>3.制定并组织落实全市疾病预防控制规划、免疫</w:t>
      </w:r>
      <w:r>
        <w:rPr>
          <w:color w:val="666666"/>
          <w:spacing w:val="-3"/>
        </w:rPr>
        <w:t>规划以及严重危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害人民健康公共卫生问题的干预措施。负责卫生</w:t>
      </w:r>
      <w:r>
        <w:rPr>
          <w:color w:val="666666"/>
          <w:spacing w:val="-4"/>
        </w:rPr>
        <w:t>应急工作，组织指导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突发公共卫生事件的预防控制和各类突发公共事件的医疗卫生救援。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1"/>
        </w:rPr>
        <w:t>承担传染病疫情信息发布工作。</w:t>
      </w:r>
    </w:p>
    <w:p w14:paraId="08ABBAC6">
      <w:pPr>
        <w:pStyle w:val="2"/>
        <w:spacing w:before="109" w:line="311" w:lineRule="auto"/>
        <w:ind w:left="19" w:right="85" w:firstLine="556"/>
      </w:pPr>
      <w:r>
        <w:rPr>
          <w:color w:val="666666"/>
          <w:spacing w:val="-2"/>
        </w:rPr>
        <w:t>4.组织拟订并协调落实应对人口老龄化政策措施，推进老年健康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-1"/>
        </w:rPr>
        <w:t>服务体系建设和医养结合工作。</w:t>
      </w:r>
    </w:p>
    <w:p w14:paraId="2C085B1C">
      <w:pPr>
        <w:spacing w:line="311" w:lineRule="auto"/>
        <w:sectPr>
          <w:pgSz w:w="11906" w:h="16839"/>
          <w:pgMar w:top="1431" w:right="1714" w:bottom="0" w:left="1785" w:header="0" w:footer="0" w:gutter="0"/>
          <w:cols w:space="720" w:num="1"/>
        </w:sectPr>
      </w:pPr>
    </w:p>
    <w:p w14:paraId="3CCE386F">
      <w:pPr>
        <w:pStyle w:val="2"/>
        <w:spacing w:before="192" w:line="311" w:lineRule="auto"/>
        <w:ind w:left="16" w:firstLine="581"/>
        <w:jc w:val="both"/>
      </w:pPr>
      <w:r>
        <w:rPr>
          <w:color w:val="666666"/>
          <w:spacing w:val="-3"/>
        </w:rPr>
        <w:t>5.贯彻执行国家药物政策和国家基本药物制度，开展药品使用监</w:t>
      </w:r>
      <w:r>
        <w:rPr>
          <w:color w:val="666666"/>
          <w:spacing w:val="5"/>
        </w:rPr>
        <w:t xml:space="preserve">   </w:t>
      </w:r>
      <w:r>
        <w:rPr>
          <w:color w:val="666666"/>
          <w:spacing w:val="-7"/>
        </w:rPr>
        <w:t>测、临床综合评价和短缺药品预警。组织开展食品安全</w:t>
      </w:r>
      <w:r>
        <w:rPr>
          <w:color w:val="666666"/>
          <w:spacing w:val="-8"/>
        </w:rPr>
        <w:t>风险监测评估，</w:t>
      </w:r>
      <w:r>
        <w:rPr>
          <w:color w:val="666666"/>
        </w:rPr>
        <w:t xml:space="preserve"> 负责食源性疾病及与食品安全事故有关的流行病</w:t>
      </w:r>
      <w:r>
        <w:rPr>
          <w:color w:val="666666"/>
          <w:spacing w:val="-1"/>
        </w:rPr>
        <w:t>学调查。</w:t>
      </w:r>
    </w:p>
    <w:p w14:paraId="2C5A3ABD">
      <w:pPr>
        <w:pStyle w:val="2"/>
        <w:spacing w:before="111" w:line="311" w:lineRule="auto"/>
        <w:ind w:left="17" w:right="70" w:firstLine="572"/>
        <w:jc w:val="both"/>
      </w:pPr>
      <w:r>
        <w:rPr>
          <w:color w:val="666666"/>
          <w:spacing w:val="-9"/>
        </w:rPr>
        <w:t>6.负责职责范围内的职业卫生、放射卫生、环境卫生、学校卫生、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公共场所卫生、饮用水卫生等公共卫生的监督管理</w:t>
      </w:r>
      <w:r>
        <w:rPr>
          <w:color w:val="666666"/>
          <w:spacing w:val="-4"/>
        </w:rPr>
        <w:t>。负责传染病防治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监督，健全卫生健康综合监督体系。</w:t>
      </w:r>
    </w:p>
    <w:p w14:paraId="72F1CF1D">
      <w:pPr>
        <w:pStyle w:val="2"/>
        <w:spacing w:before="110" w:line="311" w:lineRule="auto"/>
        <w:ind w:left="18" w:right="153" w:firstLine="567"/>
        <w:jc w:val="both"/>
      </w:pPr>
      <w:r>
        <w:rPr>
          <w:color w:val="666666"/>
          <w:spacing w:val="-2"/>
        </w:rPr>
        <w:t>7.制定医疗机构、医疗服务行业管理办法并监督实施，建立医疗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服务评价和监督管理体系。会同有关部门实施卫</w:t>
      </w:r>
      <w:r>
        <w:rPr>
          <w:color w:val="666666"/>
          <w:spacing w:val="-4"/>
        </w:rPr>
        <w:t>生健康专业技术人员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资格标准。制定并组织实施医疗服务规范、标准</w:t>
      </w:r>
      <w:r>
        <w:rPr>
          <w:color w:val="666666"/>
          <w:spacing w:val="-4"/>
        </w:rPr>
        <w:t>和卫生健康专业技术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人员执业规则、服务规范。</w:t>
      </w:r>
    </w:p>
    <w:p w14:paraId="5FA2FE13">
      <w:pPr>
        <w:pStyle w:val="2"/>
        <w:spacing w:before="105" w:line="311" w:lineRule="auto"/>
        <w:ind w:left="18" w:right="153" w:firstLine="569"/>
      </w:pPr>
      <w:r>
        <w:rPr>
          <w:color w:val="666666"/>
          <w:spacing w:val="-2"/>
        </w:rPr>
        <w:t>8.负责计划生育管理和服务工作，开展人口监测预警，研究</w:t>
      </w:r>
      <w:r>
        <w:rPr>
          <w:color w:val="666666"/>
          <w:spacing w:val="-3"/>
        </w:rPr>
        <w:t>提出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人口与家庭发展相关政策建议，完善计划生育政策。</w:t>
      </w:r>
    </w:p>
    <w:p w14:paraId="3ED5659F">
      <w:pPr>
        <w:pStyle w:val="2"/>
        <w:spacing w:before="109" w:line="311" w:lineRule="auto"/>
        <w:ind w:left="16" w:right="153" w:firstLine="570"/>
      </w:pPr>
      <w:r>
        <w:rPr>
          <w:color w:val="666666"/>
          <w:spacing w:val="-2"/>
        </w:rPr>
        <w:t>9.指导全市卫生健康工作，指导基层医疗卫生、妇幼健康服务体</w:t>
      </w:r>
      <w:r>
        <w:rPr>
          <w:color w:val="666666"/>
        </w:rPr>
        <w:t xml:space="preserve"> 系建设，加强全科医生队伍建设。推进卫生健康科技创</w:t>
      </w:r>
      <w:r>
        <w:rPr>
          <w:color w:val="666666"/>
          <w:spacing w:val="-1"/>
        </w:rPr>
        <w:t>新发展。</w:t>
      </w:r>
    </w:p>
    <w:p w14:paraId="139C8A8F">
      <w:pPr>
        <w:pStyle w:val="2"/>
        <w:spacing w:before="108" w:line="311" w:lineRule="auto"/>
        <w:ind w:left="30" w:right="223" w:firstLine="567"/>
      </w:pPr>
      <w:r>
        <w:rPr>
          <w:color w:val="666666"/>
          <w:spacing w:val="-1"/>
        </w:rPr>
        <w:t>10.负责全市健康教育、健康促进和信息化建设等工作。参与国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1"/>
        </w:rPr>
        <w:t>际交流合作、援外工作以及与港澳台的交流与合作。</w:t>
      </w:r>
    </w:p>
    <w:p w14:paraId="5AB11154">
      <w:pPr>
        <w:pStyle w:val="2"/>
        <w:spacing w:before="107" w:line="311" w:lineRule="auto"/>
        <w:ind w:left="18" w:right="223" w:firstLine="579"/>
      </w:pPr>
      <w:r>
        <w:rPr>
          <w:color w:val="666666"/>
          <w:spacing w:val="-1"/>
        </w:rPr>
        <w:t>11.负责市保健对象的医疗保健工作，负责重要来宾、重要会议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1"/>
        </w:rPr>
        <w:t>与重大活动的医疗卫生保障工作,指导全市保健工作。</w:t>
      </w:r>
    </w:p>
    <w:p w14:paraId="36DBB2A8">
      <w:pPr>
        <w:pStyle w:val="2"/>
        <w:spacing w:before="108" w:line="311" w:lineRule="auto"/>
        <w:ind w:left="22" w:right="153" w:firstLine="575"/>
      </w:pPr>
      <w:r>
        <w:rPr>
          <w:color w:val="666666"/>
          <w:spacing w:val="-1"/>
        </w:rPr>
        <w:t>12.制定全市中医药事业发展年度计划并组织实施。监督指导全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4"/>
        </w:rPr>
        <w:t>市中医药领域相关业务工作，负责权限内中医医疗机构评审评价和校</w:t>
      </w:r>
    </w:p>
    <w:p w14:paraId="02F5E523">
      <w:pPr>
        <w:spacing w:line="311" w:lineRule="auto"/>
        <w:sectPr>
          <w:pgSz w:w="11906" w:h="16839"/>
          <w:pgMar w:top="1431" w:right="1646" w:bottom="0" w:left="1785" w:header="0" w:footer="0" w:gutter="0"/>
          <w:cols w:space="720" w:num="1"/>
        </w:sectPr>
      </w:pPr>
    </w:p>
    <w:p w14:paraId="71F4FEA6">
      <w:pPr>
        <w:spacing w:line="274" w:lineRule="auto"/>
        <w:rPr>
          <w:rFonts w:ascii="Arial"/>
          <w:sz w:val="21"/>
        </w:rPr>
      </w:pPr>
    </w:p>
    <w:p w14:paraId="69B62695">
      <w:pPr>
        <w:spacing w:line="274" w:lineRule="auto"/>
        <w:rPr>
          <w:rFonts w:ascii="Arial"/>
          <w:sz w:val="21"/>
        </w:rPr>
      </w:pPr>
    </w:p>
    <w:p w14:paraId="409DAB68">
      <w:pPr>
        <w:spacing w:line="274" w:lineRule="auto"/>
        <w:rPr>
          <w:rFonts w:ascii="Arial"/>
          <w:sz w:val="21"/>
        </w:rPr>
      </w:pPr>
    </w:p>
    <w:p w14:paraId="2575FE9C">
      <w:pPr>
        <w:spacing w:line="274" w:lineRule="auto"/>
        <w:rPr>
          <w:rFonts w:ascii="Arial"/>
          <w:sz w:val="21"/>
        </w:rPr>
      </w:pPr>
    </w:p>
    <w:p w14:paraId="7D4ACA92">
      <w:pPr>
        <w:pStyle w:val="2"/>
        <w:spacing w:before="120" w:line="311" w:lineRule="auto"/>
        <w:ind w:left="34" w:right="83" w:hanging="6"/>
      </w:pPr>
      <w:r>
        <w:rPr>
          <w:color w:val="666666"/>
          <w:spacing w:val="-3"/>
        </w:rPr>
        <w:t>验管理。负责加强师承教育、毕业后教育、继续教育</w:t>
      </w:r>
      <w:r>
        <w:rPr>
          <w:color w:val="666666"/>
          <w:spacing w:val="-4"/>
        </w:rPr>
        <w:t>等中医人才培养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工作。负责全市中医统计和中药资源普查工作。</w:t>
      </w:r>
    </w:p>
    <w:p w14:paraId="7D94211E">
      <w:pPr>
        <w:pStyle w:val="2"/>
        <w:spacing w:before="107" w:line="364" w:lineRule="auto"/>
        <w:ind w:left="610" w:right="1608"/>
      </w:pPr>
      <w:r>
        <w:rPr>
          <w:color w:val="666666"/>
          <w:spacing w:val="-4"/>
        </w:rPr>
        <w:t>13.指导市计划生育协会和市红十字会的业务工作。</w:t>
      </w:r>
      <w:r>
        <w:rPr>
          <w:color w:val="666666"/>
          <w:spacing w:val="16"/>
        </w:rPr>
        <w:t xml:space="preserve"> </w:t>
      </w:r>
      <w:r>
        <w:rPr>
          <w:color w:val="666666"/>
          <w:spacing w:val="-2"/>
        </w:rPr>
        <w:t>14.承办市委、市人民政府交办的其他事项。</w:t>
      </w:r>
    </w:p>
    <w:p w14:paraId="3455D1E4">
      <w:pPr>
        <w:pStyle w:val="2"/>
        <w:spacing w:before="2" w:line="184" w:lineRule="auto"/>
        <w:ind w:left="455"/>
        <w:outlineLvl w:val="1"/>
      </w:pPr>
      <w:r>
        <w:rPr>
          <w:b/>
          <w:bCs/>
          <w:color w:val="666666"/>
          <w:spacing w:val="-4"/>
        </w:rPr>
        <w:t>二</w:t>
      </w:r>
      <w:r>
        <w:t>、机构设置及决算单位构成</w:t>
      </w:r>
    </w:p>
    <w:p w14:paraId="682239C2">
      <w:pPr>
        <w:pStyle w:val="2"/>
        <w:spacing w:before="312" w:line="309" w:lineRule="auto"/>
        <w:ind w:firstLine="537"/>
        <w:jc w:val="both"/>
      </w:pPr>
      <w:r>
        <w:rPr>
          <w:color w:val="666666"/>
          <w:spacing w:val="-2"/>
        </w:rPr>
        <w:t>（一）内设机构设置。祁阳市卫生健康局内设机构包括：办公室</w:t>
      </w:r>
      <w:r>
        <w:rPr>
          <w:color w:val="666666"/>
          <w:spacing w:val="5"/>
        </w:rPr>
        <w:t xml:space="preserve">  </w:t>
      </w:r>
      <w:r>
        <w:rPr>
          <w:color w:val="666666"/>
          <w:spacing w:val="-2"/>
        </w:rPr>
        <w:t>（信访股）、人事股、规划财务股、法规与综合监</w:t>
      </w:r>
      <w:r>
        <w:rPr>
          <w:color w:val="666666"/>
          <w:spacing w:val="-3"/>
        </w:rPr>
        <w:t>督股（对外称市食</w:t>
      </w:r>
      <w:r>
        <w:rPr>
          <w:color w:val="666666"/>
        </w:rPr>
        <w:t xml:space="preserve">  </w:t>
      </w:r>
      <w:r>
        <w:rPr>
          <w:color w:val="666666"/>
          <w:spacing w:val="-9"/>
        </w:rPr>
        <w:t>品安全风险监测管理办公室）、疾病预防控制股（卫生应急办公室）、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2"/>
        </w:rPr>
        <w:t>医政医管股、中医股、基层卫生健康股、药物政策</w:t>
      </w:r>
      <w:r>
        <w:rPr>
          <w:color w:val="666666"/>
          <w:spacing w:val="-3"/>
        </w:rPr>
        <w:t>与科技教育股、老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龄健康与保健股、妇幼健康股、人口监测与家庭发</w:t>
      </w:r>
      <w:r>
        <w:rPr>
          <w:color w:val="666666"/>
          <w:spacing w:val="-3"/>
        </w:rPr>
        <w:t>展股、宣传股、行</w:t>
      </w:r>
      <w:r>
        <w:rPr>
          <w:color w:val="666666"/>
        </w:rPr>
        <w:t xml:space="preserve">  </w:t>
      </w:r>
      <w:r>
        <w:rPr>
          <w:color w:val="666666"/>
          <w:spacing w:val="5"/>
        </w:rPr>
        <w:t>政审批股。</w:t>
      </w:r>
    </w:p>
    <w:p w14:paraId="46A411E5">
      <w:pPr>
        <w:pStyle w:val="2"/>
        <w:spacing w:before="183" w:line="311" w:lineRule="auto"/>
        <w:ind w:left="30" w:right="195" w:firstLine="562"/>
      </w:pPr>
      <w:r>
        <w:rPr>
          <w:color w:val="666666"/>
          <w:spacing w:val="-3"/>
        </w:rPr>
        <w:t>下辖市计划生育药具服务站、红十字会、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19 个镇卫生院、</w:t>
      </w:r>
      <w:r>
        <w:rPr>
          <w:color w:val="666666"/>
          <w:spacing w:val="-63"/>
        </w:rPr>
        <w:t xml:space="preserve"> </w:t>
      </w:r>
      <w:r>
        <w:rPr>
          <w:color w:val="666666"/>
          <w:spacing w:val="-3"/>
        </w:rPr>
        <w:t>3 个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社区卫生服务中心。</w:t>
      </w:r>
    </w:p>
    <w:p w14:paraId="350A8CFC">
      <w:pPr>
        <w:pStyle w:val="2"/>
        <w:spacing w:before="58" w:line="312" w:lineRule="auto"/>
        <w:ind w:left="30" w:right="83" w:firstLine="514"/>
        <w:jc w:val="both"/>
      </w:pPr>
      <w:r>
        <w:rPr>
          <w:color w:val="666666"/>
          <w:spacing w:val="-2"/>
        </w:rPr>
        <w:t>（</w:t>
      </w:r>
      <w:r>
        <w:rPr>
          <w:color w:val="666666"/>
          <w:spacing w:val="-49"/>
        </w:rPr>
        <w:t xml:space="preserve"> </w:t>
      </w:r>
      <w:r>
        <w:rPr>
          <w:color w:val="666666"/>
          <w:spacing w:val="-2"/>
        </w:rPr>
        <w:t xml:space="preserve">二）决算单位构成。祁阳市卫生健康局 2022 </w:t>
      </w:r>
      <w:r>
        <w:rPr>
          <w:color w:val="666666"/>
          <w:spacing w:val="-3"/>
        </w:rPr>
        <w:t>年部门决算汇总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公开单位构成包括：祁阳市卫生健康局本级以及市</w:t>
      </w:r>
      <w:r>
        <w:rPr>
          <w:color w:val="666666"/>
          <w:spacing w:val="-4"/>
        </w:rPr>
        <w:t>计划生育药具服务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站、红十字会、</w:t>
      </w:r>
      <w:r>
        <w:rPr>
          <w:rFonts w:hint="eastAsia"/>
          <w:color w:val="666666"/>
          <w:spacing w:val="-1"/>
          <w:lang w:val="en-US" w:eastAsia="zh-CN"/>
        </w:rPr>
        <w:t>乡镇</w:t>
      </w:r>
      <w:r>
        <w:rPr>
          <w:color w:val="666666"/>
          <w:spacing w:val="-1"/>
        </w:rPr>
        <w:t>防保站。</w:t>
      </w:r>
    </w:p>
    <w:p w14:paraId="4FA0C78F">
      <w:pPr>
        <w:spacing w:line="247" w:lineRule="auto"/>
        <w:rPr>
          <w:rFonts w:ascii="Arial"/>
          <w:sz w:val="21"/>
        </w:rPr>
      </w:pPr>
    </w:p>
    <w:p w14:paraId="04C63E98">
      <w:pPr>
        <w:spacing w:line="247" w:lineRule="auto"/>
        <w:rPr>
          <w:rFonts w:ascii="Arial"/>
          <w:sz w:val="21"/>
        </w:rPr>
      </w:pPr>
    </w:p>
    <w:p w14:paraId="2298B985">
      <w:pPr>
        <w:spacing w:line="247" w:lineRule="auto"/>
        <w:rPr>
          <w:rFonts w:ascii="Arial"/>
          <w:sz w:val="21"/>
        </w:rPr>
      </w:pPr>
    </w:p>
    <w:p w14:paraId="11959A89">
      <w:pPr>
        <w:spacing w:line="248" w:lineRule="auto"/>
        <w:rPr>
          <w:rFonts w:ascii="Arial"/>
          <w:sz w:val="21"/>
        </w:rPr>
      </w:pPr>
    </w:p>
    <w:p w14:paraId="20379461">
      <w:pPr>
        <w:spacing w:line="248" w:lineRule="auto"/>
        <w:rPr>
          <w:rFonts w:ascii="Arial"/>
          <w:sz w:val="21"/>
        </w:rPr>
      </w:pPr>
    </w:p>
    <w:p w14:paraId="63BB003A">
      <w:pPr>
        <w:spacing w:line="248" w:lineRule="auto"/>
        <w:rPr>
          <w:rFonts w:ascii="Arial"/>
          <w:sz w:val="21"/>
        </w:rPr>
      </w:pPr>
    </w:p>
    <w:p w14:paraId="03D551ED">
      <w:pPr>
        <w:pStyle w:val="2"/>
        <w:spacing w:before="121" w:line="183" w:lineRule="auto"/>
        <w:ind w:left="3620"/>
        <w:outlineLvl w:val="0"/>
      </w:pPr>
      <w:r>
        <w:rPr>
          <w:b/>
          <w:bCs/>
          <w:color w:val="666666"/>
          <w:spacing w:val="-3"/>
        </w:rPr>
        <w:t>第二部分</w:t>
      </w:r>
    </w:p>
    <w:p w14:paraId="43B5BED5">
      <w:pPr>
        <w:rPr>
          <w:rFonts w:ascii="Arial"/>
          <w:sz w:val="21"/>
        </w:rPr>
      </w:pPr>
    </w:p>
    <w:p w14:paraId="22315552">
      <w:pPr>
        <w:pStyle w:val="2"/>
        <w:spacing w:before="121" w:line="183" w:lineRule="auto"/>
        <w:jc w:val="center"/>
        <w:outlineLvl w:val="0"/>
        <w:rPr>
          <w:b/>
          <w:bCs/>
          <w:color w:val="666666"/>
          <w:spacing w:val="-3"/>
        </w:rPr>
      </w:pPr>
      <w:r>
        <w:rPr>
          <w:b/>
          <w:bCs/>
          <w:color w:val="666666"/>
          <w:spacing w:val="-3"/>
        </w:rPr>
        <w:t>部门决算表</w:t>
      </w:r>
    </w:p>
    <w:p w14:paraId="2A976DB4">
      <w:pPr>
        <w:spacing w:line="184" w:lineRule="auto"/>
        <w:sectPr>
          <w:headerReference r:id="rId5" w:type="default"/>
          <w:pgSz w:w="11906" w:h="16839"/>
          <w:pgMar w:top="400" w:right="1716" w:bottom="0" w:left="1772" w:header="0" w:footer="0" w:gutter="0"/>
          <w:cols w:space="720" w:num="1"/>
        </w:sectPr>
      </w:pPr>
    </w:p>
    <w:p w14:paraId="1E855597">
      <w:pPr>
        <w:spacing w:line="249" w:lineRule="auto"/>
        <w:rPr>
          <w:rFonts w:ascii="Arial"/>
          <w:sz w:val="21"/>
        </w:rPr>
      </w:pPr>
    </w:p>
    <w:p w14:paraId="0424E592">
      <w:pPr>
        <w:spacing w:line="249" w:lineRule="auto"/>
        <w:rPr>
          <w:rFonts w:ascii="Arial"/>
          <w:sz w:val="21"/>
        </w:rPr>
      </w:pPr>
    </w:p>
    <w:p w14:paraId="66433005">
      <w:pPr>
        <w:spacing w:line="249" w:lineRule="auto"/>
        <w:rPr>
          <w:rFonts w:ascii="Arial"/>
          <w:sz w:val="21"/>
        </w:rPr>
      </w:pPr>
    </w:p>
    <w:p w14:paraId="730861B1">
      <w:pPr>
        <w:spacing w:line="9950" w:lineRule="exact"/>
      </w:pPr>
      <w:r>
        <w:rPr>
          <w:position w:val="-199"/>
        </w:rPr>
        <w:drawing>
          <wp:inline distT="0" distB="0" distL="0" distR="0">
            <wp:extent cx="8861425" cy="63182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63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7DDF">
      <w:pPr>
        <w:spacing w:line="9950" w:lineRule="exact"/>
        <w:sectPr>
          <w:headerReference r:id="rId6" w:type="default"/>
          <w:pgSz w:w="16839" w:h="11906"/>
          <w:pgMar w:top="400" w:right="1442" w:bottom="0" w:left="1440" w:header="0" w:footer="0" w:gutter="0"/>
          <w:cols w:space="720" w:num="1"/>
        </w:sectPr>
      </w:pPr>
    </w:p>
    <w:p w14:paraId="7BB7C329">
      <w:pPr>
        <w:spacing w:line="241" w:lineRule="auto"/>
        <w:rPr>
          <w:rFonts w:ascii="Arial"/>
          <w:sz w:val="21"/>
        </w:rPr>
      </w:pPr>
    </w:p>
    <w:p w14:paraId="1240A3A0">
      <w:pPr>
        <w:spacing w:line="242" w:lineRule="auto"/>
        <w:rPr>
          <w:rFonts w:ascii="Arial"/>
          <w:sz w:val="21"/>
        </w:rPr>
      </w:pPr>
    </w:p>
    <w:p w14:paraId="5D27F200">
      <w:pPr>
        <w:spacing w:line="242" w:lineRule="auto"/>
        <w:rPr>
          <w:rFonts w:ascii="Arial"/>
          <w:sz w:val="21"/>
        </w:rPr>
      </w:pPr>
    </w:p>
    <w:p w14:paraId="3D6FEB87">
      <w:pPr>
        <w:spacing w:line="242" w:lineRule="auto"/>
        <w:rPr>
          <w:rFonts w:ascii="Arial"/>
          <w:sz w:val="21"/>
        </w:rPr>
      </w:pPr>
    </w:p>
    <w:p w14:paraId="34AEA643">
      <w:pPr>
        <w:spacing w:line="242" w:lineRule="auto"/>
        <w:rPr>
          <w:rFonts w:ascii="Arial"/>
          <w:sz w:val="21"/>
        </w:rPr>
      </w:pPr>
    </w:p>
    <w:p w14:paraId="7F293060">
      <w:pPr>
        <w:spacing w:line="242" w:lineRule="auto"/>
        <w:rPr>
          <w:rFonts w:ascii="Arial"/>
          <w:sz w:val="21"/>
        </w:rPr>
      </w:pPr>
    </w:p>
    <w:p w14:paraId="6174CC2E">
      <w:pPr>
        <w:spacing w:line="8301" w:lineRule="exact"/>
      </w:pPr>
      <w:r>
        <w:rPr>
          <w:position w:val="-166"/>
        </w:rPr>
        <w:drawing>
          <wp:inline distT="0" distB="0" distL="0" distR="0">
            <wp:extent cx="8721725" cy="527113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1852" cy="52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1A84">
      <w:pPr>
        <w:spacing w:line="8301" w:lineRule="exact"/>
        <w:sectPr>
          <w:pgSz w:w="16839" w:h="11906"/>
          <w:pgMar w:top="400" w:right="1662" w:bottom="0" w:left="1440" w:header="0" w:footer="0" w:gutter="0"/>
          <w:cols w:space="720" w:num="1"/>
        </w:sectPr>
      </w:pPr>
    </w:p>
    <w:p w14:paraId="7D9DBCCF">
      <w:pPr>
        <w:spacing w:line="254" w:lineRule="auto"/>
        <w:rPr>
          <w:rFonts w:ascii="Arial"/>
          <w:sz w:val="21"/>
        </w:rPr>
      </w:pPr>
    </w:p>
    <w:p w14:paraId="5C1D811D">
      <w:pPr>
        <w:spacing w:line="254" w:lineRule="auto"/>
        <w:rPr>
          <w:rFonts w:ascii="Arial"/>
          <w:sz w:val="21"/>
        </w:rPr>
      </w:pPr>
    </w:p>
    <w:p w14:paraId="0336BC4A">
      <w:pPr>
        <w:spacing w:line="254" w:lineRule="auto"/>
        <w:rPr>
          <w:rFonts w:ascii="Arial"/>
          <w:sz w:val="21"/>
        </w:rPr>
      </w:pPr>
    </w:p>
    <w:p w14:paraId="6DC94A25">
      <w:pPr>
        <w:spacing w:line="255" w:lineRule="auto"/>
        <w:rPr>
          <w:rFonts w:ascii="Arial"/>
          <w:sz w:val="21"/>
        </w:rPr>
      </w:pPr>
    </w:p>
    <w:p w14:paraId="398BA2CB">
      <w:pPr>
        <w:spacing w:line="255" w:lineRule="auto"/>
        <w:rPr>
          <w:rFonts w:ascii="Arial"/>
          <w:sz w:val="21"/>
        </w:rPr>
      </w:pPr>
    </w:p>
    <w:p w14:paraId="09011993">
      <w:pPr>
        <w:spacing w:line="255" w:lineRule="auto"/>
        <w:rPr>
          <w:rFonts w:ascii="Arial"/>
          <w:sz w:val="21"/>
        </w:rPr>
      </w:pPr>
    </w:p>
    <w:p w14:paraId="5FF1D39A">
      <w:pPr>
        <w:spacing w:line="9086" w:lineRule="exact"/>
      </w:pPr>
      <w:r>
        <w:rPr>
          <w:position w:val="-181"/>
        </w:rPr>
        <w:drawing>
          <wp:inline distT="0" distB="0" distL="0" distR="0">
            <wp:extent cx="8855710" cy="576961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57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65A8">
      <w:pPr>
        <w:spacing w:line="9086" w:lineRule="exact"/>
        <w:sectPr>
          <w:pgSz w:w="16839" w:h="11906"/>
          <w:pgMar w:top="400" w:right="1451" w:bottom="0" w:left="1440" w:header="0" w:footer="0" w:gutter="0"/>
          <w:cols w:space="720" w:num="1"/>
        </w:sectPr>
      </w:pPr>
    </w:p>
    <w:p w14:paraId="0C93A570">
      <w:pPr>
        <w:spacing w:line="256" w:lineRule="auto"/>
        <w:rPr>
          <w:rFonts w:ascii="Arial"/>
          <w:sz w:val="21"/>
        </w:rPr>
      </w:pPr>
    </w:p>
    <w:p w14:paraId="3CB9BF13">
      <w:pPr>
        <w:spacing w:line="256" w:lineRule="auto"/>
        <w:rPr>
          <w:rFonts w:ascii="Arial"/>
          <w:sz w:val="21"/>
        </w:rPr>
      </w:pPr>
    </w:p>
    <w:p w14:paraId="150FECD9">
      <w:pPr>
        <w:spacing w:line="256" w:lineRule="auto"/>
        <w:rPr>
          <w:rFonts w:ascii="Arial"/>
          <w:sz w:val="21"/>
        </w:rPr>
      </w:pPr>
    </w:p>
    <w:p w14:paraId="633FCF7E">
      <w:pPr>
        <w:spacing w:line="256" w:lineRule="auto"/>
        <w:rPr>
          <w:rFonts w:ascii="Arial"/>
          <w:sz w:val="21"/>
        </w:rPr>
      </w:pPr>
    </w:p>
    <w:p w14:paraId="3D453E33">
      <w:pPr>
        <w:spacing w:line="256" w:lineRule="auto"/>
        <w:rPr>
          <w:rFonts w:ascii="Arial"/>
          <w:sz w:val="21"/>
        </w:rPr>
      </w:pPr>
    </w:p>
    <w:p w14:paraId="145E5420">
      <w:pPr>
        <w:spacing w:line="256" w:lineRule="auto"/>
        <w:rPr>
          <w:rFonts w:ascii="Arial"/>
          <w:sz w:val="21"/>
        </w:rPr>
      </w:pPr>
    </w:p>
    <w:p w14:paraId="3F0EBB34">
      <w:pPr>
        <w:spacing w:line="9380" w:lineRule="exact"/>
      </w:pPr>
      <w:r>
        <w:rPr>
          <w:position w:val="-187"/>
        </w:rPr>
        <w:drawing>
          <wp:inline distT="0" distB="0" distL="0" distR="0">
            <wp:extent cx="8855710" cy="595566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59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E437">
      <w:pPr>
        <w:spacing w:line="9380" w:lineRule="exact"/>
        <w:sectPr>
          <w:pgSz w:w="16839" w:h="11906"/>
          <w:pgMar w:top="400" w:right="1451" w:bottom="0" w:left="1440" w:header="0" w:footer="0" w:gutter="0"/>
          <w:cols w:space="720" w:num="1"/>
        </w:sectPr>
      </w:pPr>
    </w:p>
    <w:p w14:paraId="18EFC7C7">
      <w:pPr>
        <w:spacing w:line="256" w:lineRule="auto"/>
        <w:rPr>
          <w:rFonts w:ascii="Arial"/>
          <w:sz w:val="21"/>
        </w:rPr>
      </w:pPr>
    </w:p>
    <w:p w14:paraId="6D6A11CB">
      <w:pPr>
        <w:spacing w:line="257" w:lineRule="auto"/>
        <w:rPr>
          <w:rFonts w:ascii="Arial"/>
          <w:sz w:val="21"/>
        </w:rPr>
      </w:pPr>
    </w:p>
    <w:p w14:paraId="32BCC583">
      <w:pPr>
        <w:spacing w:line="257" w:lineRule="auto"/>
        <w:rPr>
          <w:rFonts w:ascii="Arial"/>
          <w:sz w:val="21"/>
        </w:rPr>
      </w:pPr>
    </w:p>
    <w:p w14:paraId="27B2A036">
      <w:pPr>
        <w:spacing w:line="257" w:lineRule="auto"/>
        <w:rPr>
          <w:rFonts w:ascii="Arial"/>
          <w:sz w:val="21"/>
        </w:rPr>
      </w:pPr>
    </w:p>
    <w:p w14:paraId="31EF2238">
      <w:pPr>
        <w:spacing w:line="257" w:lineRule="auto"/>
        <w:rPr>
          <w:rFonts w:ascii="Arial"/>
          <w:sz w:val="21"/>
        </w:rPr>
      </w:pPr>
    </w:p>
    <w:p w14:paraId="53F3ABA5">
      <w:pPr>
        <w:spacing w:line="257" w:lineRule="auto"/>
        <w:rPr>
          <w:rFonts w:ascii="Arial"/>
          <w:sz w:val="21"/>
        </w:rPr>
      </w:pPr>
    </w:p>
    <w:p w14:paraId="6EE784DF">
      <w:pPr>
        <w:spacing w:line="6562" w:lineRule="exact"/>
      </w:pPr>
      <w:r>
        <w:rPr>
          <w:position w:val="-131"/>
        </w:rPr>
        <w:drawing>
          <wp:inline distT="0" distB="0" distL="0" distR="0">
            <wp:extent cx="8855710" cy="41662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4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61DB">
      <w:pPr>
        <w:spacing w:line="6562" w:lineRule="exact"/>
        <w:sectPr>
          <w:pgSz w:w="16839" w:h="11906"/>
          <w:pgMar w:top="400" w:right="1451" w:bottom="0" w:left="1440" w:header="0" w:footer="0" w:gutter="0"/>
          <w:cols w:space="720" w:num="1"/>
        </w:sectPr>
      </w:pPr>
    </w:p>
    <w:p w14:paraId="351E634B">
      <w:pPr>
        <w:spacing w:line="255" w:lineRule="auto"/>
        <w:rPr>
          <w:rFonts w:ascii="Arial"/>
          <w:sz w:val="21"/>
        </w:rPr>
      </w:pPr>
    </w:p>
    <w:p w14:paraId="69661AD1">
      <w:pPr>
        <w:spacing w:line="255" w:lineRule="auto"/>
        <w:rPr>
          <w:rFonts w:ascii="Arial"/>
          <w:sz w:val="21"/>
        </w:rPr>
      </w:pPr>
    </w:p>
    <w:p w14:paraId="32FE95B4">
      <w:pPr>
        <w:spacing w:line="255" w:lineRule="auto"/>
        <w:rPr>
          <w:rFonts w:ascii="Arial"/>
          <w:sz w:val="21"/>
        </w:rPr>
      </w:pPr>
    </w:p>
    <w:p w14:paraId="33CF8D73">
      <w:pPr>
        <w:spacing w:line="255" w:lineRule="auto"/>
        <w:rPr>
          <w:rFonts w:ascii="Arial"/>
          <w:sz w:val="21"/>
        </w:rPr>
      </w:pPr>
    </w:p>
    <w:p w14:paraId="1BBCFF8C">
      <w:pPr>
        <w:spacing w:line="256" w:lineRule="auto"/>
        <w:rPr>
          <w:rFonts w:ascii="Arial"/>
          <w:sz w:val="21"/>
        </w:rPr>
      </w:pPr>
    </w:p>
    <w:p w14:paraId="70A06D13">
      <w:pPr>
        <w:spacing w:line="256" w:lineRule="auto"/>
        <w:rPr>
          <w:rFonts w:ascii="Arial"/>
          <w:sz w:val="21"/>
        </w:rPr>
      </w:pPr>
    </w:p>
    <w:p w14:paraId="0580294F">
      <w:pPr>
        <w:spacing w:line="9316" w:lineRule="exact"/>
      </w:pPr>
      <w:r>
        <w:rPr>
          <w:position w:val="-186"/>
        </w:rPr>
        <w:drawing>
          <wp:inline distT="0" distB="0" distL="0" distR="0">
            <wp:extent cx="8855710" cy="59156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5964" cy="591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88B8">
      <w:pPr>
        <w:spacing w:line="9316" w:lineRule="exact"/>
        <w:sectPr>
          <w:pgSz w:w="16839" w:h="11906"/>
          <w:pgMar w:top="400" w:right="1480" w:bottom="0" w:left="1411" w:header="0" w:footer="0" w:gutter="0"/>
          <w:cols w:space="720" w:num="1"/>
        </w:sectPr>
      </w:pPr>
    </w:p>
    <w:p w14:paraId="79D0F75A">
      <w:pPr>
        <w:spacing w:line="251" w:lineRule="auto"/>
        <w:rPr>
          <w:rFonts w:ascii="Arial"/>
          <w:sz w:val="21"/>
        </w:rPr>
      </w:pPr>
    </w:p>
    <w:p w14:paraId="6B54FD27">
      <w:pPr>
        <w:spacing w:line="251" w:lineRule="auto"/>
        <w:rPr>
          <w:rFonts w:ascii="Arial"/>
          <w:sz w:val="21"/>
        </w:rPr>
      </w:pPr>
    </w:p>
    <w:p w14:paraId="16DE5405">
      <w:pPr>
        <w:spacing w:line="252" w:lineRule="auto"/>
        <w:rPr>
          <w:rFonts w:ascii="Arial"/>
          <w:sz w:val="21"/>
        </w:rPr>
      </w:pPr>
    </w:p>
    <w:p w14:paraId="4776C344">
      <w:pPr>
        <w:spacing w:line="252" w:lineRule="auto"/>
        <w:rPr>
          <w:rFonts w:ascii="Arial"/>
          <w:sz w:val="21"/>
        </w:rPr>
      </w:pPr>
    </w:p>
    <w:p w14:paraId="747AB6BB">
      <w:pPr>
        <w:spacing w:line="252" w:lineRule="auto"/>
        <w:rPr>
          <w:rFonts w:ascii="Arial"/>
          <w:sz w:val="21"/>
        </w:rPr>
      </w:pPr>
    </w:p>
    <w:p w14:paraId="55F7F548">
      <w:pPr>
        <w:spacing w:line="252" w:lineRule="auto"/>
        <w:rPr>
          <w:rFonts w:ascii="Arial"/>
          <w:sz w:val="21"/>
        </w:rPr>
      </w:pPr>
    </w:p>
    <w:p w14:paraId="6AF8BFD6">
      <w:pPr>
        <w:spacing w:line="9120" w:lineRule="exact"/>
      </w:pPr>
      <w:r>
        <w:rPr>
          <w:position w:val="-182"/>
        </w:rPr>
        <w:drawing>
          <wp:inline distT="0" distB="0" distL="0" distR="0">
            <wp:extent cx="8861425" cy="57912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6D1F">
      <w:pPr>
        <w:spacing w:line="9120" w:lineRule="exact"/>
        <w:sectPr>
          <w:pgSz w:w="16839" w:h="11906"/>
          <w:pgMar w:top="400" w:right="1442" w:bottom="0" w:left="1440" w:header="0" w:footer="0" w:gutter="0"/>
          <w:cols w:space="720" w:num="1"/>
        </w:sectPr>
      </w:pPr>
    </w:p>
    <w:p w14:paraId="59E3B560">
      <w:pPr>
        <w:spacing w:line="243" w:lineRule="auto"/>
        <w:rPr>
          <w:rFonts w:ascii="Arial"/>
          <w:sz w:val="21"/>
        </w:rPr>
      </w:pPr>
    </w:p>
    <w:p w14:paraId="78CADE19">
      <w:pPr>
        <w:spacing w:line="243" w:lineRule="auto"/>
        <w:rPr>
          <w:rFonts w:ascii="Arial"/>
          <w:sz w:val="21"/>
        </w:rPr>
      </w:pPr>
    </w:p>
    <w:p w14:paraId="189A5525">
      <w:pPr>
        <w:spacing w:line="243" w:lineRule="auto"/>
        <w:rPr>
          <w:rFonts w:ascii="Arial"/>
          <w:sz w:val="21"/>
        </w:rPr>
      </w:pPr>
    </w:p>
    <w:p w14:paraId="702F4FE6">
      <w:pPr>
        <w:spacing w:line="243" w:lineRule="auto"/>
        <w:rPr>
          <w:rFonts w:ascii="Arial"/>
          <w:sz w:val="21"/>
        </w:rPr>
      </w:pPr>
    </w:p>
    <w:p w14:paraId="20F7C57A">
      <w:pPr>
        <w:spacing w:line="244" w:lineRule="auto"/>
        <w:rPr>
          <w:rFonts w:ascii="Arial"/>
          <w:sz w:val="21"/>
        </w:rPr>
      </w:pPr>
    </w:p>
    <w:p w14:paraId="483F20F8">
      <w:pPr>
        <w:spacing w:line="244" w:lineRule="auto"/>
        <w:rPr>
          <w:rFonts w:ascii="Arial"/>
          <w:sz w:val="21"/>
        </w:rPr>
      </w:pPr>
    </w:p>
    <w:p w14:paraId="374AFB82">
      <w:pPr>
        <w:spacing w:line="9533" w:lineRule="exact"/>
      </w:pPr>
      <w:r>
        <w:rPr>
          <w:position w:val="-190"/>
        </w:rPr>
        <w:drawing>
          <wp:inline distT="0" distB="0" distL="0" distR="0">
            <wp:extent cx="8861425" cy="60528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2059" cy="605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7F9">
      <w:pPr>
        <w:spacing w:line="9533" w:lineRule="exact"/>
        <w:sectPr>
          <w:pgSz w:w="16839" w:h="11906"/>
          <w:pgMar w:top="400" w:right="1442" w:bottom="0" w:left="1440" w:header="0" w:footer="0" w:gutter="0"/>
          <w:cols w:space="720" w:num="1"/>
        </w:sectPr>
      </w:pPr>
    </w:p>
    <w:p w14:paraId="70CB9E6E">
      <w:pPr>
        <w:spacing w:line="248" w:lineRule="auto"/>
        <w:rPr>
          <w:rFonts w:ascii="Arial"/>
          <w:sz w:val="21"/>
        </w:rPr>
      </w:pPr>
    </w:p>
    <w:p w14:paraId="641A0AA3">
      <w:pPr>
        <w:spacing w:line="249" w:lineRule="auto"/>
        <w:rPr>
          <w:rFonts w:ascii="Arial"/>
          <w:sz w:val="21"/>
        </w:rPr>
      </w:pPr>
    </w:p>
    <w:p w14:paraId="2BE5FB4C">
      <w:pPr>
        <w:spacing w:line="249" w:lineRule="auto"/>
        <w:rPr>
          <w:rFonts w:ascii="Arial"/>
          <w:sz w:val="21"/>
        </w:rPr>
      </w:pPr>
    </w:p>
    <w:p w14:paraId="1C8717EA">
      <w:pPr>
        <w:spacing w:line="249" w:lineRule="auto"/>
        <w:rPr>
          <w:rFonts w:ascii="Arial"/>
          <w:sz w:val="21"/>
        </w:rPr>
      </w:pPr>
    </w:p>
    <w:p w14:paraId="6C614C80">
      <w:pPr>
        <w:spacing w:line="249" w:lineRule="auto"/>
        <w:rPr>
          <w:rFonts w:ascii="Arial"/>
          <w:sz w:val="21"/>
        </w:rPr>
      </w:pPr>
    </w:p>
    <w:p w14:paraId="67444775">
      <w:pPr>
        <w:spacing w:line="249" w:lineRule="auto"/>
        <w:rPr>
          <w:rFonts w:ascii="Arial"/>
          <w:sz w:val="21"/>
        </w:rPr>
      </w:pPr>
    </w:p>
    <w:p w14:paraId="10D30961">
      <w:pPr>
        <w:spacing w:line="7592" w:lineRule="exact"/>
      </w:pPr>
      <w:r>
        <w:rPr>
          <w:position w:val="-151"/>
        </w:rPr>
        <w:drawing>
          <wp:inline distT="0" distB="0" distL="0" distR="0">
            <wp:extent cx="8860155" cy="48202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48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3FAF">
      <w:pPr>
        <w:spacing w:line="7592" w:lineRule="exact"/>
        <w:sectPr>
          <w:pgSz w:w="16839" w:h="11906"/>
          <w:pgMar w:top="400" w:right="1444" w:bottom="0" w:left="1440" w:header="0" w:footer="0" w:gutter="0"/>
          <w:cols w:space="720" w:num="1"/>
        </w:sectPr>
      </w:pPr>
    </w:p>
    <w:p w14:paraId="2EAD5F1A">
      <w:pPr>
        <w:spacing w:line="256" w:lineRule="auto"/>
        <w:rPr>
          <w:rFonts w:ascii="Arial"/>
          <w:sz w:val="21"/>
        </w:rPr>
      </w:pPr>
    </w:p>
    <w:p w14:paraId="3D60910B">
      <w:pPr>
        <w:spacing w:line="256" w:lineRule="auto"/>
        <w:rPr>
          <w:rFonts w:ascii="Arial"/>
          <w:sz w:val="21"/>
        </w:rPr>
      </w:pPr>
    </w:p>
    <w:p w14:paraId="2855788D">
      <w:pPr>
        <w:spacing w:line="256" w:lineRule="auto"/>
        <w:rPr>
          <w:rFonts w:ascii="Arial"/>
          <w:sz w:val="21"/>
        </w:rPr>
      </w:pPr>
    </w:p>
    <w:p w14:paraId="2D5E3A7A">
      <w:pPr>
        <w:spacing w:line="256" w:lineRule="auto"/>
        <w:rPr>
          <w:rFonts w:ascii="Arial"/>
          <w:sz w:val="21"/>
        </w:rPr>
      </w:pPr>
    </w:p>
    <w:p w14:paraId="54437647">
      <w:pPr>
        <w:spacing w:line="256" w:lineRule="auto"/>
        <w:rPr>
          <w:rFonts w:ascii="Arial"/>
          <w:sz w:val="21"/>
        </w:rPr>
      </w:pPr>
    </w:p>
    <w:p w14:paraId="1B9D6D5A">
      <w:pPr>
        <w:spacing w:line="256" w:lineRule="auto"/>
        <w:rPr>
          <w:rFonts w:ascii="Arial"/>
          <w:sz w:val="21"/>
        </w:rPr>
      </w:pPr>
    </w:p>
    <w:p w14:paraId="3F29CCCC">
      <w:pPr>
        <w:spacing w:line="9065" w:lineRule="exact"/>
      </w:pPr>
      <w:r>
        <w:rPr>
          <w:position w:val="-181"/>
        </w:rPr>
        <w:drawing>
          <wp:inline distT="0" distB="0" distL="0" distR="0">
            <wp:extent cx="8858885" cy="57556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9011" cy="57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FDA1">
      <w:pPr>
        <w:spacing w:line="9065" w:lineRule="exact"/>
        <w:sectPr>
          <w:pgSz w:w="16839" w:h="11906"/>
          <w:pgMar w:top="400" w:right="1446" w:bottom="0" w:left="1440" w:header="0" w:footer="0" w:gutter="0"/>
          <w:cols w:space="720" w:num="1"/>
        </w:sectPr>
      </w:pPr>
    </w:p>
    <w:p w14:paraId="5236408A">
      <w:pPr>
        <w:spacing w:line="286" w:lineRule="auto"/>
        <w:rPr>
          <w:rFonts w:ascii="Arial"/>
          <w:sz w:val="21"/>
        </w:rPr>
      </w:pPr>
    </w:p>
    <w:p w14:paraId="25857D68">
      <w:pPr>
        <w:spacing w:line="286" w:lineRule="auto"/>
        <w:rPr>
          <w:rFonts w:ascii="Arial"/>
          <w:sz w:val="21"/>
        </w:rPr>
      </w:pPr>
    </w:p>
    <w:p w14:paraId="3B79DC41">
      <w:pPr>
        <w:spacing w:line="286" w:lineRule="auto"/>
        <w:rPr>
          <w:rFonts w:ascii="Arial"/>
          <w:sz w:val="21"/>
        </w:rPr>
      </w:pPr>
    </w:p>
    <w:p w14:paraId="7A054E86">
      <w:pPr>
        <w:spacing w:line="287" w:lineRule="auto"/>
        <w:rPr>
          <w:rFonts w:ascii="Arial"/>
          <w:sz w:val="21"/>
        </w:rPr>
      </w:pPr>
    </w:p>
    <w:p w14:paraId="38D08666">
      <w:pPr>
        <w:pStyle w:val="2"/>
        <w:spacing w:before="103" w:line="240" w:lineRule="exact"/>
        <w:ind w:left="751"/>
        <w:rPr>
          <w:sz w:val="24"/>
          <w:szCs w:val="24"/>
        </w:rPr>
      </w:pPr>
      <w:r>
        <w:rPr>
          <w:color w:val="BCBCBC"/>
          <w:spacing w:val="-8"/>
          <w:w w:val="87"/>
          <w:position w:val="-1"/>
          <w:sz w:val="24"/>
          <w:szCs w:val="24"/>
        </w:rPr>
        <w:t>祁阳市卫生键康局</w:t>
      </w:r>
    </w:p>
    <w:p w14:paraId="4007E8EE">
      <w:pPr>
        <w:spacing w:line="240" w:lineRule="exact"/>
        <w:rPr>
          <w:sz w:val="24"/>
          <w:szCs w:val="24"/>
        </w:rPr>
        <w:sectPr>
          <w:headerReference r:id="rId7" w:type="default"/>
          <w:pgSz w:w="16839" w:h="11906"/>
          <w:pgMar w:top="400" w:right="1446" w:bottom="0" w:left="1440" w:header="0" w:footer="0" w:gutter="0"/>
          <w:cols w:space="720" w:num="1"/>
        </w:sectPr>
      </w:pPr>
    </w:p>
    <w:p w14:paraId="6A42A156">
      <w:pPr>
        <w:spacing w:line="249" w:lineRule="auto"/>
        <w:rPr>
          <w:rFonts w:ascii="Arial"/>
          <w:sz w:val="21"/>
        </w:rPr>
      </w:pPr>
    </w:p>
    <w:p w14:paraId="7440AE60">
      <w:pPr>
        <w:spacing w:line="250" w:lineRule="auto"/>
        <w:rPr>
          <w:rFonts w:ascii="Arial"/>
          <w:sz w:val="21"/>
        </w:rPr>
      </w:pPr>
    </w:p>
    <w:p w14:paraId="5E38913B">
      <w:pPr>
        <w:spacing w:line="9878" w:lineRule="exact"/>
      </w:pPr>
      <w:r>
        <w:rPr>
          <w:position w:val="-197"/>
        </w:rPr>
        <w:drawing>
          <wp:inline distT="0" distB="0" distL="0" distR="0">
            <wp:extent cx="8860155" cy="627253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62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233B">
      <w:pPr>
        <w:spacing w:line="9878" w:lineRule="exact"/>
        <w:sectPr>
          <w:headerReference r:id="rId8" w:type="default"/>
          <w:pgSz w:w="16839" w:h="11906"/>
          <w:pgMar w:top="400" w:right="1444" w:bottom="0" w:left="1440" w:header="0" w:footer="0" w:gutter="0"/>
          <w:cols w:space="720" w:num="1"/>
        </w:sectPr>
      </w:pPr>
    </w:p>
    <w:p w14:paraId="08A624C4">
      <w:pPr>
        <w:rPr>
          <w:rFonts w:ascii="Arial"/>
          <w:sz w:val="21"/>
        </w:rPr>
      </w:pPr>
    </w:p>
    <w:p w14:paraId="446ECAE7">
      <w:pPr>
        <w:rPr>
          <w:rFonts w:ascii="Arial"/>
          <w:sz w:val="21"/>
        </w:rPr>
      </w:pPr>
    </w:p>
    <w:p w14:paraId="00935540">
      <w:pPr>
        <w:spacing w:line="2119" w:lineRule="exact"/>
      </w:pPr>
      <w:r>
        <w:rPr>
          <w:position w:val="-42"/>
        </w:rPr>
        <w:drawing>
          <wp:inline distT="0" distB="0" distL="0" distR="0">
            <wp:extent cx="8860155" cy="13455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13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BAD1">
      <w:pPr>
        <w:spacing w:line="2119" w:lineRule="exact"/>
        <w:sectPr>
          <w:pgSz w:w="16839" w:h="11906"/>
          <w:pgMar w:top="400" w:right="1444" w:bottom="0" w:left="1440" w:header="0" w:footer="0" w:gutter="0"/>
          <w:cols w:space="720" w:num="1"/>
        </w:sectPr>
      </w:pPr>
    </w:p>
    <w:p w14:paraId="523218AC">
      <w:pPr>
        <w:spacing w:line="349" w:lineRule="auto"/>
        <w:rPr>
          <w:rFonts w:ascii="Arial"/>
          <w:sz w:val="21"/>
        </w:rPr>
      </w:pPr>
    </w:p>
    <w:p w14:paraId="63B5C9EC">
      <w:pPr>
        <w:spacing w:line="350" w:lineRule="auto"/>
        <w:rPr>
          <w:rFonts w:ascii="Arial"/>
          <w:sz w:val="21"/>
        </w:rPr>
      </w:pPr>
    </w:p>
    <w:p w14:paraId="3D0A68B6">
      <w:pPr>
        <w:pStyle w:val="2"/>
        <w:spacing w:before="103" w:line="240" w:lineRule="exact"/>
        <w:ind w:left="960"/>
        <w:rPr>
          <w:sz w:val="24"/>
          <w:szCs w:val="24"/>
        </w:rPr>
      </w:pPr>
      <w:r>
        <w:rPr>
          <w:color w:val="B9B9B9"/>
          <w:spacing w:val="-8"/>
          <w:w w:val="87"/>
          <w:position w:val="-1"/>
          <w:sz w:val="24"/>
          <w:szCs w:val="24"/>
        </w:rPr>
        <w:t>祁阳市卫生键康局</w:t>
      </w:r>
    </w:p>
    <w:p w14:paraId="5A95D1EA">
      <w:pPr>
        <w:spacing w:line="240" w:lineRule="exact"/>
        <w:rPr>
          <w:sz w:val="24"/>
          <w:szCs w:val="24"/>
        </w:rPr>
        <w:sectPr>
          <w:headerReference r:id="rId9" w:type="default"/>
          <w:pgSz w:w="16839" w:h="11906"/>
          <w:pgMar w:top="400" w:right="1449" w:bottom="0" w:left="1440" w:header="0" w:footer="0" w:gutter="0"/>
          <w:cols w:space="720" w:num="1"/>
        </w:sectPr>
      </w:pPr>
    </w:p>
    <w:p w14:paraId="02264BE2">
      <w:pPr>
        <w:spacing w:line="265" w:lineRule="auto"/>
        <w:rPr>
          <w:rFonts w:ascii="Arial"/>
          <w:sz w:val="21"/>
        </w:rPr>
      </w:pPr>
    </w:p>
    <w:p w14:paraId="0D666186">
      <w:pPr>
        <w:spacing w:line="265" w:lineRule="auto"/>
        <w:rPr>
          <w:rFonts w:ascii="Arial"/>
          <w:sz w:val="21"/>
        </w:rPr>
      </w:pPr>
    </w:p>
    <w:p w14:paraId="2480D99B">
      <w:pPr>
        <w:spacing w:line="266" w:lineRule="auto"/>
        <w:rPr>
          <w:rFonts w:ascii="Arial"/>
          <w:sz w:val="21"/>
        </w:rPr>
      </w:pPr>
    </w:p>
    <w:p w14:paraId="0059D73D">
      <w:pPr>
        <w:spacing w:line="266" w:lineRule="auto"/>
        <w:rPr>
          <w:rFonts w:ascii="Arial"/>
          <w:sz w:val="21"/>
        </w:rPr>
      </w:pPr>
    </w:p>
    <w:p w14:paraId="78C82EAC">
      <w:pPr>
        <w:spacing w:line="266" w:lineRule="auto"/>
        <w:rPr>
          <w:rFonts w:ascii="Arial"/>
          <w:sz w:val="21"/>
        </w:rPr>
      </w:pPr>
    </w:p>
    <w:p w14:paraId="07DEFF8F">
      <w:pPr>
        <w:spacing w:line="266" w:lineRule="auto"/>
        <w:rPr>
          <w:rFonts w:ascii="Arial"/>
          <w:sz w:val="21"/>
        </w:rPr>
      </w:pPr>
    </w:p>
    <w:p w14:paraId="5FEBF4D7">
      <w:pPr>
        <w:pStyle w:val="2"/>
        <w:spacing w:before="103" w:line="240" w:lineRule="exact"/>
        <w:ind w:left="674"/>
        <w:rPr>
          <w:sz w:val="24"/>
          <w:szCs w:val="24"/>
        </w:rPr>
      </w:pPr>
      <w:r>
        <w:rPr>
          <w:color w:val="BCBCBC"/>
          <w:spacing w:val="-8"/>
          <w:w w:val="87"/>
          <w:position w:val="-1"/>
          <w:sz w:val="24"/>
          <w:szCs w:val="24"/>
        </w:rPr>
        <w:t>祁阳市卫生键康局</w:t>
      </w:r>
    </w:p>
    <w:p w14:paraId="62880D25">
      <w:pPr>
        <w:spacing w:line="240" w:lineRule="exact"/>
        <w:rPr>
          <w:sz w:val="24"/>
          <w:szCs w:val="24"/>
        </w:rPr>
        <w:sectPr>
          <w:headerReference r:id="rId10" w:type="default"/>
          <w:pgSz w:w="16839" w:h="11906"/>
          <w:pgMar w:top="400" w:right="1444" w:bottom="0" w:left="1440" w:header="0" w:footer="0" w:gutter="0"/>
          <w:cols w:space="720" w:num="1"/>
        </w:sectPr>
      </w:pPr>
    </w:p>
    <w:p w14:paraId="408342D6">
      <w:pPr>
        <w:spacing w:line="242" w:lineRule="auto"/>
        <w:rPr>
          <w:rFonts w:ascii="Arial"/>
          <w:sz w:val="21"/>
        </w:rPr>
      </w:pPr>
    </w:p>
    <w:p w14:paraId="3F1E5C4B">
      <w:pPr>
        <w:spacing w:line="242" w:lineRule="auto"/>
        <w:rPr>
          <w:rFonts w:ascii="Arial"/>
          <w:sz w:val="21"/>
        </w:rPr>
      </w:pPr>
    </w:p>
    <w:p w14:paraId="59397B81">
      <w:pPr>
        <w:spacing w:line="242" w:lineRule="auto"/>
        <w:rPr>
          <w:rFonts w:ascii="Arial"/>
          <w:sz w:val="21"/>
        </w:rPr>
      </w:pPr>
    </w:p>
    <w:p w14:paraId="0E404D9B">
      <w:pPr>
        <w:spacing w:line="242" w:lineRule="auto"/>
        <w:rPr>
          <w:rFonts w:ascii="Arial"/>
          <w:sz w:val="21"/>
        </w:rPr>
      </w:pPr>
    </w:p>
    <w:p w14:paraId="6E64A097">
      <w:pPr>
        <w:spacing w:line="242" w:lineRule="auto"/>
        <w:rPr>
          <w:rFonts w:ascii="Arial"/>
          <w:sz w:val="21"/>
        </w:rPr>
      </w:pPr>
    </w:p>
    <w:p w14:paraId="362763CD">
      <w:pPr>
        <w:spacing w:line="243" w:lineRule="auto"/>
        <w:rPr>
          <w:rFonts w:ascii="Arial"/>
          <w:sz w:val="21"/>
        </w:rPr>
      </w:pPr>
    </w:p>
    <w:p w14:paraId="09C0F04E">
      <w:pPr>
        <w:spacing w:line="243" w:lineRule="auto"/>
        <w:rPr>
          <w:rFonts w:ascii="Arial"/>
          <w:sz w:val="21"/>
        </w:rPr>
      </w:pPr>
    </w:p>
    <w:p w14:paraId="6B7C0E72">
      <w:pPr>
        <w:pStyle w:val="2"/>
        <w:spacing w:before="103" w:line="240" w:lineRule="exact"/>
        <w:ind w:left="645"/>
        <w:rPr>
          <w:b w:val="0"/>
          <w:bCs w:val="0"/>
          <w:sz w:val="24"/>
          <w:szCs w:val="24"/>
        </w:rPr>
        <w:sectPr>
          <w:headerReference r:id="rId11" w:type="default"/>
          <w:pgSz w:w="16839" w:h="11906"/>
          <w:pgMar w:top="400" w:right="1454" w:bottom="0" w:left="1440" w:header="0" w:footer="0" w:gutter="0"/>
          <w:cols w:space="720" w:num="1"/>
        </w:sectPr>
      </w:pPr>
      <w:r>
        <w:rPr>
          <w:b w:val="0"/>
          <w:bCs w:val="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-765810</wp:posOffset>
            </wp:positionV>
            <wp:extent cx="8854440" cy="488886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color w:val="BCBCBC"/>
          <w:spacing w:val="-8"/>
          <w:w w:val="87"/>
          <w:position w:val="-1"/>
          <w:sz w:val="24"/>
          <w:szCs w:val="24"/>
        </w:rPr>
        <w:t>祁阳市卫生键康局</w:t>
      </w:r>
    </w:p>
    <w:p w14:paraId="275A9C27">
      <w:pPr>
        <w:spacing w:line="240" w:lineRule="auto"/>
        <w:rPr>
          <w:rFonts w:hint="eastAsia" w:eastAsia="宋体"/>
          <w:lang w:eastAsia="zh-CN"/>
        </w:rPr>
        <w:sectPr>
          <w:pgSz w:w="16839" w:h="11906"/>
          <w:pgMar w:top="400" w:right="1454" w:bottom="0" w:left="1440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282940" cy="4488180"/>
            <wp:effectExtent l="0" t="0" r="7620" b="7620"/>
            <wp:docPr id="2" name="图片 2" descr="一般公共预算财政拨款“三公”经费支出决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般公共预算财政拨款“三公”经费支出决算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A799">
      <w:pPr>
        <w:spacing w:line="274" w:lineRule="auto"/>
        <w:rPr>
          <w:rFonts w:ascii="Arial"/>
          <w:sz w:val="21"/>
        </w:rPr>
      </w:pPr>
    </w:p>
    <w:p w14:paraId="1AADD563">
      <w:pPr>
        <w:spacing w:line="274" w:lineRule="auto"/>
        <w:rPr>
          <w:rFonts w:ascii="Arial"/>
          <w:sz w:val="21"/>
        </w:rPr>
      </w:pPr>
    </w:p>
    <w:p w14:paraId="16E09B16">
      <w:pPr>
        <w:spacing w:line="275" w:lineRule="auto"/>
        <w:rPr>
          <w:rFonts w:ascii="Arial"/>
          <w:sz w:val="21"/>
        </w:rPr>
      </w:pPr>
    </w:p>
    <w:p w14:paraId="21588181">
      <w:pPr>
        <w:spacing w:line="275" w:lineRule="auto"/>
        <w:rPr>
          <w:rFonts w:ascii="Arial"/>
          <w:sz w:val="21"/>
        </w:rPr>
      </w:pPr>
    </w:p>
    <w:p w14:paraId="1572D816">
      <w:pPr>
        <w:pStyle w:val="2"/>
        <w:spacing w:before="120" w:line="183" w:lineRule="auto"/>
        <w:ind w:left="3819"/>
        <w:outlineLvl w:val="0"/>
      </w:pPr>
      <w:r>
        <w:rPr>
          <w:b/>
          <w:bCs/>
          <w:color w:val="666666"/>
          <w:spacing w:val="-3"/>
        </w:rPr>
        <w:t>第三部分</w:t>
      </w:r>
    </w:p>
    <w:p w14:paraId="1D93478B">
      <w:pPr>
        <w:pStyle w:val="2"/>
        <w:spacing w:before="120" w:line="183" w:lineRule="auto"/>
        <w:ind w:firstLine="3290" w:firstLineChars="1200"/>
        <w:outlineLvl w:val="0"/>
        <w:rPr>
          <w:b/>
          <w:bCs/>
          <w:color w:val="666666"/>
          <w:spacing w:val="-3"/>
        </w:rPr>
      </w:pPr>
      <w:r>
        <w:rPr>
          <w:b/>
          <w:bCs/>
          <w:color w:val="666666"/>
          <w:spacing w:val="-3"/>
        </w:rPr>
        <w:t>部门决算情况说明</w:t>
      </w:r>
    </w:p>
    <w:p w14:paraId="0DD3EC3B">
      <w:pPr>
        <w:pStyle w:val="2"/>
        <w:spacing w:before="359" w:line="185" w:lineRule="auto"/>
        <w:ind w:left="581"/>
        <w:outlineLvl w:val="1"/>
      </w:pPr>
      <w:r>
        <w:rPr>
          <w:b/>
          <w:bCs/>
          <w:color w:val="666666"/>
          <w:spacing w:val="-4"/>
        </w:rPr>
        <w:t>一、收入支出决算总体情况说明</w:t>
      </w:r>
    </w:p>
    <w:p w14:paraId="1FC682A4">
      <w:pPr>
        <w:pStyle w:val="2"/>
        <w:spacing w:before="356" w:line="184" w:lineRule="auto"/>
        <w:ind w:left="587"/>
      </w:pPr>
      <w:r>
        <w:rPr>
          <w:color w:val="666666"/>
          <w:spacing w:val="-2"/>
        </w:rPr>
        <w:t>2022 年度收、支</w:t>
      </w:r>
      <w:r>
        <w:rPr>
          <w:color w:val="666666"/>
          <w:spacing w:val="-5"/>
        </w:rPr>
        <w:t>总计 108439.11 万元。与</w:t>
      </w:r>
      <w:r>
        <w:rPr>
          <w:color w:val="666666"/>
          <w:spacing w:val="-2"/>
        </w:rPr>
        <w:t xml:space="preserve"> 2021 年相比增加</w:t>
      </w:r>
    </w:p>
    <w:p w14:paraId="49DCC7D6">
      <w:pPr>
        <w:pStyle w:val="2"/>
        <w:spacing w:before="204" w:line="226" w:lineRule="auto"/>
        <w:ind w:left="28"/>
      </w:pPr>
      <w:r>
        <w:rPr>
          <w:color w:val="666666"/>
          <w:spacing w:val="-1"/>
        </w:rPr>
        <w:t>25304.29 万元，增长 30.4</w:t>
      </w:r>
      <w:r>
        <w:rPr>
          <w:rFonts w:hint="eastAsia"/>
          <w:color w:val="666666"/>
          <w:spacing w:val="-1"/>
          <w:lang w:val="en-US" w:eastAsia="zh-CN"/>
        </w:rPr>
        <w:t>4</w:t>
      </w:r>
      <w:r>
        <w:rPr>
          <w:color w:val="666666"/>
          <w:spacing w:val="-1"/>
        </w:rPr>
        <w:t>%，主要是因为本年度财政</w:t>
      </w:r>
      <w:r>
        <w:rPr>
          <w:color w:val="666666"/>
          <w:spacing w:val="-2"/>
        </w:rPr>
        <w:t>投入增加。</w:t>
      </w:r>
    </w:p>
    <w:p w14:paraId="10D0C6E8">
      <w:pPr>
        <w:pStyle w:val="2"/>
        <w:spacing w:before="331" w:line="184" w:lineRule="auto"/>
        <w:ind w:left="581"/>
        <w:outlineLvl w:val="1"/>
      </w:pPr>
      <w:r>
        <w:rPr>
          <w:b/>
          <w:bCs/>
          <w:color w:val="666666"/>
          <w:spacing w:val="-4"/>
        </w:rPr>
        <w:t>二、收入决算情况说明</w:t>
      </w:r>
    </w:p>
    <w:p w14:paraId="2008AC32">
      <w:pPr>
        <w:pStyle w:val="2"/>
        <w:spacing w:before="357" w:line="306" w:lineRule="auto"/>
        <w:ind w:left="18" w:firstLine="559"/>
        <w:jc w:val="both"/>
      </w:pPr>
      <w:r>
        <w:rPr>
          <w:color w:val="666666"/>
          <w:spacing w:val="-4"/>
        </w:rPr>
        <w:t>本年</w:t>
      </w:r>
      <w:r>
        <w:rPr>
          <w:color w:val="666666"/>
          <w:spacing w:val="-5"/>
        </w:rPr>
        <w:t>收入合计 108439.11 万元，其</w:t>
      </w:r>
      <w:r>
        <w:rPr>
          <w:color w:val="666666"/>
          <w:spacing w:val="-4"/>
        </w:rPr>
        <w:t>中：财政拨款收入 18341.46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5"/>
        </w:rPr>
        <w:t>万元，占 16.91%；上级补助收入 0 万元，占 0%；事业收入 0 万元，</w:t>
      </w:r>
      <w:r>
        <w:rPr>
          <w:color w:val="666666"/>
        </w:rPr>
        <w:t xml:space="preserve"> </w:t>
      </w:r>
      <w:r>
        <w:rPr>
          <w:color w:val="666666"/>
          <w:spacing w:val="-11"/>
        </w:rPr>
        <w:t>占 0%；经营收入 0 万元，占 0%；附属单位上缴收入 0 万元，占 0%；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3"/>
        </w:rPr>
        <w:t>其他收入 90097.65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占 83</w:t>
      </w:r>
      <w:r>
        <w:rPr>
          <w:color w:val="666666"/>
          <w:spacing w:val="-4"/>
        </w:rPr>
        <w:t>.09%。</w:t>
      </w:r>
    </w:p>
    <w:p w14:paraId="1A303190">
      <w:pPr>
        <w:pStyle w:val="2"/>
        <w:spacing w:before="155" w:line="184" w:lineRule="auto"/>
        <w:ind w:left="581"/>
        <w:outlineLvl w:val="1"/>
      </w:pPr>
      <w:r>
        <w:rPr>
          <w:b/>
          <w:bCs/>
          <w:color w:val="666666"/>
          <w:spacing w:val="-4"/>
        </w:rPr>
        <w:t>三、支出决算情况说明</w:t>
      </w:r>
    </w:p>
    <w:p w14:paraId="15944D18">
      <w:pPr>
        <w:pStyle w:val="2"/>
        <w:spacing w:before="355" w:line="306" w:lineRule="auto"/>
        <w:ind w:left="18" w:right="168" w:firstLine="559"/>
        <w:jc w:val="both"/>
      </w:pPr>
      <w:r>
        <w:rPr>
          <w:color w:val="666666"/>
          <w:spacing w:val="-1"/>
        </w:rPr>
        <w:t>本年支出合</w:t>
      </w:r>
      <w:r>
        <w:rPr>
          <w:color w:val="666666"/>
          <w:spacing w:val="-5"/>
        </w:rPr>
        <w:t>计 108439.11 万元，其中：基本支出 55772.38 万  元， 占 51.43%；项目支出 52666.73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占 48.57</w:t>
      </w:r>
      <w:r>
        <w:rPr>
          <w:color w:val="666666"/>
          <w:spacing w:val="-4"/>
        </w:rPr>
        <w:t>%；上缴上级</w:t>
      </w:r>
      <w:r>
        <w:rPr>
          <w:color w:val="666666"/>
        </w:rPr>
        <w:t xml:space="preserve">  </w:t>
      </w:r>
      <w:r>
        <w:rPr>
          <w:color w:val="666666"/>
          <w:spacing w:val="-4"/>
        </w:rPr>
        <w:t>支出 0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4"/>
        </w:rPr>
        <w:t xml:space="preserve">占 0%；经营支出 0 </w:t>
      </w:r>
      <w:r>
        <w:rPr>
          <w:color w:val="666666"/>
          <w:spacing w:val="-5"/>
        </w:rPr>
        <w:t>万元，</w:t>
      </w:r>
      <w:r>
        <w:rPr>
          <w:color w:val="666666"/>
          <w:spacing w:val="-44"/>
        </w:rPr>
        <w:t xml:space="preserve"> </w:t>
      </w:r>
      <w:r>
        <w:rPr>
          <w:color w:val="666666"/>
          <w:spacing w:val="-5"/>
        </w:rPr>
        <w:t>占 0%；对附属单位补助支</w:t>
      </w:r>
      <w:r>
        <w:rPr>
          <w:color w:val="666666"/>
        </w:rPr>
        <w:t xml:space="preserve"> </w:t>
      </w:r>
      <w:r>
        <w:rPr>
          <w:color w:val="666666"/>
          <w:spacing w:val="-7"/>
        </w:rPr>
        <w:t>出 0 万元，</w:t>
      </w:r>
      <w:r>
        <w:rPr>
          <w:color w:val="666666"/>
          <w:spacing w:val="-42"/>
        </w:rPr>
        <w:t xml:space="preserve"> </w:t>
      </w:r>
      <w:r>
        <w:rPr>
          <w:color w:val="666666"/>
          <w:spacing w:val="-7"/>
        </w:rPr>
        <w:t>占 0%。</w:t>
      </w:r>
    </w:p>
    <w:p w14:paraId="68662766">
      <w:pPr>
        <w:pStyle w:val="2"/>
        <w:spacing w:before="154" w:line="185" w:lineRule="auto"/>
        <w:ind w:left="590"/>
        <w:outlineLvl w:val="1"/>
      </w:pPr>
      <w:r>
        <w:rPr>
          <w:b/>
          <w:bCs/>
          <w:color w:val="666666"/>
          <w:spacing w:val="-4"/>
        </w:rPr>
        <w:t>四、财政拨款收入支出决算总体情况说明</w:t>
      </w:r>
    </w:p>
    <w:p w14:paraId="491DB128">
      <w:pPr>
        <w:pStyle w:val="2"/>
        <w:spacing w:before="360" w:line="312" w:lineRule="auto"/>
        <w:ind w:left="20" w:right="180" w:firstLine="567"/>
      </w:pPr>
      <w:r>
        <w:rPr>
          <w:color w:val="666666"/>
          <w:spacing w:val="-2"/>
        </w:rPr>
        <w:t>2022 年度财政拨款收、支总计 18341.46 万元，与上年相比 ， 减少 18991.35 万元，减少 50.87%，主要是因为疫情防控和</w:t>
      </w:r>
      <w:r>
        <w:rPr>
          <w:rFonts w:hint="eastAsia"/>
          <w:color w:val="666666"/>
          <w:spacing w:val="-2"/>
          <w:lang w:val="en-US" w:eastAsia="zh-CN"/>
        </w:rPr>
        <w:t>基本</w:t>
      </w:r>
      <w:r>
        <w:rPr>
          <w:color w:val="666666"/>
          <w:spacing w:val="-2"/>
        </w:rPr>
        <w:t>建设支出减少。</w:t>
      </w:r>
    </w:p>
    <w:p w14:paraId="0322ED6D">
      <w:pPr>
        <w:pStyle w:val="2"/>
        <w:spacing w:before="361" w:line="185" w:lineRule="auto"/>
        <w:ind w:left="578"/>
        <w:outlineLvl w:val="1"/>
      </w:pPr>
      <w:r>
        <w:rPr>
          <w:b/>
          <w:bCs/>
          <w:color w:val="666666"/>
          <w:spacing w:val="-4"/>
        </w:rPr>
        <w:t>五、一般公共预算财政拨款支出决算情况说明</w:t>
      </w:r>
    </w:p>
    <w:p w14:paraId="2109FA09">
      <w:pPr>
        <w:spacing w:line="185" w:lineRule="auto"/>
        <w:sectPr>
          <w:pgSz w:w="11906" w:h="16839"/>
          <w:pgMar w:top="400" w:right="1642" w:bottom="0" w:left="1785" w:header="0" w:footer="0" w:gutter="0"/>
          <w:cols w:space="720" w:num="1"/>
        </w:sectPr>
      </w:pPr>
    </w:p>
    <w:p w14:paraId="38BF28DC">
      <w:pPr>
        <w:spacing w:line="260" w:lineRule="auto"/>
        <w:rPr>
          <w:rFonts w:ascii="Arial"/>
          <w:sz w:val="21"/>
        </w:rPr>
      </w:pPr>
    </w:p>
    <w:p w14:paraId="6A7CE86D">
      <w:pPr>
        <w:spacing w:line="260" w:lineRule="auto"/>
        <w:rPr>
          <w:rFonts w:ascii="Arial"/>
          <w:sz w:val="21"/>
        </w:rPr>
      </w:pPr>
    </w:p>
    <w:p w14:paraId="7CFA8571">
      <w:pPr>
        <w:spacing w:line="260" w:lineRule="auto"/>
        <w:rPr>
          <w:rFonts w:ascii="Arial"/>
          <w:sz w:val="21"/>
        </w:rPr>
      </w:pPr>
    </w:p>
    <w:p w14:paraId="41526976">
      <w:pPr>
        <w:spacing w:line="260" w:lineRule="auto"/>
        <w:rPr>
          <w:rFonts w:ascii="Arial"/>
          <w:sz w:val="21"/>
        </w:rPr>
      </w:pPr>
    </w:p>
    <w:p w14:paraId="4778D17A">
      <w:pPr>
        <w:pStyle w:val="2"/>
        <w:spacing w:before="120" w:line="225" w:lineRule="auto"/>
        <w:ind w:left="554"/>
        <w:outlineLvl w:val="2"/>
      </w:pPr>
      <w:r>
        <w:rPr>
          <w:b/>
          <w:bCs/>
          <w:color w:val="666666"/>
          <w:spacing w:val="-1"/>
        </w:rPr>
        <w:t>（一）财政拨款支出决算总体情况</w:t>
      </w:r>
    </w:p>
    <w:p w14:paraId="1CC9F9BA">
      <w:pPr>
        <w:pStyle w:val="2"/>
        <w:spacing w:before="332" w:line="307" w:lineRule="auto"/>
        <w:ind w:left="51" w:right="356" w:firstLine="549"/>
      </w:pPr>
      <w:r>
        <w:rPr>
          <w:color w:val="666666"/>
          <w:spacing w:val="-3"/>
        </w:rPr>
        <w:t>2022 年度财政拨款支出 17544.59 万元，</w:t>
      </w:r>
      <w:r>
        <w:rPr>
          <w:color w:val="666666"/>
          <w:spacing w:val="-35"/>
        </w:rPr>
        <w:t xml:space="preserve"> </w:t>
      </w:r>
      <w:r>
        <w:rPr>
          <w:color w:val="666666"/>
          <w:spacing w:val="-3"/>
        </w:rPr>
        <w:t>占本年支出合计的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16.18%，与上年相比，财政拨款支出</w:t>
      </w:r>
      <w:r>
        <w:rPr>
          <w:color w:val="666666"/>
          <w:spacing w:val="-2"/>
        </w:rPr>
        <w:t>减少 2488.21 万元，减少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12.42%，主要是因为基本建设支出减少。</w:t>
      </w:r>
    </w:p>
    <w:p w14:paraId="656A1E78">
      <w:pPr>
        <w:pStyle w:val="2"/>
        <w:spacing w:before="80" w:line="225" w:lineRule="auto"/>
        <w:ind w:left="554"/>
        <w:outlineLvl w:val="2"/>
      </w:pPr>
      <w:r>
        <w:rPr>
          <w:b/>
          <w:bCs/>
          <w:color w:val="666666"/>
          <w:spacing w:val="-4"/>
        </w:rPr>
        <w:t>（</w:t>
      </w:r>
      <w:r>
        <w:rPr>
          <w:color w:val="666666"/>
          <w:spacing w:val="-35"/>
        </w:rPr>
        <w:t xml:space="preserve"> </w:t>
      </w:r>
      <w:r>
        <w:rPr>
          <w:b/>
          <w:bCs/>
          <w:color w:val="666666"/>
          <w:spacing w:val="-4"/>
        </w:rPr>
        <w:t>二）财政拨款支出决算结构情况</w:t>
      </w:r>
    </w:p>
    <w:p w14:paraId="53C09996">
      <w:pPr>
        <w:pStyle w:val="2"/>
        <w:spacing w:before="329" w:line="305" w:lineRule="auto"/>
        <w:ind w:left="31" w:right="58" w:firstLine="569"/>
        <w:jc w:val="both"/>
      </w:pPr>
      <w:r>
        <w:rPr>
          <w:color w:val="666666"/>
          <w:spacing w:val="-1"/>
        </w:rPr>
        <w:t>2022 年度财政拨款支出 17544.59 万元，主要用于以下方面：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一般公共服务（类）支出 54.67 万元，</w:t>
      </w:r>
      <w:r>
        <w:rPr>
          <w:color w:val="666666"/>
          <w:spacing w:val="-28"/>
        </w:rPr>
        <w:t xml:space="preserve"> </w:t>
      </w:r>
      <w:r>
        <w:rPr>
          <w:color w:val="666666"/>
          <w:spacing w:val="-2"/>
        </w:rPr>
        <w:t>占 0.31%；公共安全（类）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支出 5.4 万元，</w:t>
      </w:r>
      <w:r>
        <w:rPr>
          <w:color w:val="666666"/>
          <w:spacing w:val="-33"/>
        </w:rPr>
        <w:t xml:space="preserve"> </w:t>
      </w:r>
      <w:r>
        <w:rPr>
          <w:color w:val="666666"/>
          <w:spacing w:val="-3"/>
        </w:rPr>
        <w:t>占 0.03%;社会保障和就业（类）支出 337.8 万元</w:t>
      </w:r>
      <w:r>
        <w:rPr>
          <w:color w:val="666666"/>
          <w:spacing w:val="-48"/>
        </w:rPr>
        <w:t xml:space="preserve"> </w:t>
      </w:r>
      <w:r>
        <w:rPr>
          <w:color w:val="666666"/>
          <w:spacing w:val="-3"/>
        </w:rPr>
        <w:t>，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占 1.93%；卫生健康（类）支出 171</w:t>
      </w:r>
      <w:r>
        <w:rPr>
          <w:color w:val="666666"/>
          <w:spacing w:val="-3"/>
        </w:rPr>
        <w:t>46.72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3"/>
        </w:rPr>
        <w:t>占 97.73%。</w:t>
      </w:r>
    </w:p>
    <w:p w14:paraId="31DA880B">
      <w:pPr>
        <w:pStyle w:val="2"/>
        <w:spacing w:before="107" w:line="225" w:lineRule="auto"/>
        <w:ind w:left="554"/>
        <w:outlineLvl w:val="2"/>
      </w:pPr>
      <w:r>
        <w:rPr>
          <w:b/>
          <w:bCs/>
          <w:color w:val="666666"/>
          <w:spacing w:val="-1"/>
        </w:rPr>
        <w:t>（三）财政拨款支出决算具体情况</w:t>
      </w:r>
    </w:p>
    <w:p w14:paraId="32DE768F">
      <w:pPr>
        <w:pStyle w:val="2"/>
        <w:spacing w:before="333" w:line="316" w:lineRule="auto"/>
        <w:ind w:left="30" w:right="75" w:firstLine="569"/>
      </w:pPr>
      <w:r>
        <w:rPr>
          <w:color w:val="666666"/>
          <w:spacing w:val="-2"/>
        </w:rPr>
        <w:t>2022 年度财政拨款支出年初预算数为 17544.59 万元，支出决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算数为 17544.59 万元，完成年初预算的 100%，其中：</w:t>
      </w:r>
    </w:p>
    <w:p w14:paraId="6D8B5A7B">
      <w:pPr>
        <w:pStyle w:val="2"/>
        <w:spacing w:before="38" w:line="302" w:lineRule="auto"/>
        <w:ind w:right="35" w:firstLine="610"/>
      </w:pPr>
      <w:r>
        <w:rPr>
          <w:color w:val="666666"/>
          <w:spacing w:val="-1"/>
        </w:rPr>
        <w:t>1、一般公共服务支出（类）政府办公厅（室）及相关机构事务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2"/>
        </w:rPr>
        <w:t>（款）一般行政管理事务（项）。</w:t>
      </w:r>
    </w:p>
    <w:p w14:paraId="590E19B0">
      <w:pPr>
        <w:pStyle w:val="2"/>
        <w:spacing w:before="193" w:line="304" w:lineRule="auto"/>
        <w:ind w:left="30" w:right="13" w:firstLine="560"/>
        <w:jc w:val="both"/>
      </w:pPr>
      <w:r>
        <w:rPr>
          <w:color w:val="666666"/>
          <w:spacing w:val="-2"/>
        </w:rPr>
        <w:t>年初预算为 54.67 万元，支出决算为 54.67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1A1476C5">
      <w:pPr>
        <w:pStyle w:val="2"/>
        <w:spacing w:before="117" w:line="302" w:lineRule="auto"/>
        <w:ind w:left="33" w:right="35" w:firstLine="567"/>
      </w:pPr>
      <w:r>
        <w:rPr>
          <w:color w:val="666666"/>
          <w:spacing w:val="-1"/>
        </w:rPr>
        <w:t>2、公共安全支出（类）其他公共安全支出（款）其他公共安全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1"/>
        </w:rPr>
        <w:t>支出（项）。</w:t>
      </w:r>
    </w:p>
    <w:p w14:paraId="7F4889F1">
      <w:pPr>
        <w:spacing w:line="302" w:lineRule="auto"/>
        <w:sectPr>
          <w:pgSz w:w="11906" w:h="16839"/>
          <w:pgMar w:top="400" w:right="1785" w:bottom="0" w:left="1772" w:header="0" w:footer="0" w:gutter="0"/>
          <w:cols w:space="720" w:num="1"/>
        </w:sectPr>
      </w:pPr>
    </w:p>
    <w:p w14:paraId="0FB3FDE1">
      <w:pPr>
        <w:spacing w:line="274" w:lineRule="auto"/>
        <w:rPr>
          <w:rFonts w:ascii="Arial"/>
          <w:sz w:val="21"/>
        </w:rPr>
      </w:pPr>
    </w:p>
    <w:p w14:paraId="40E20694">
      <w:pPr>
        <w:spacing w:line="274" w:lineRule="auto"/>
        <w:rPr>
          <w:rFonts w:ascii="Arial"/>
          <w:sz w:val="21"/>
        </w:rPr>
      </w:pPr>
    </w:p>
    <w:p w14:paraId="580802A9">
      <w:pPr>
        <w:spacing w:line="274" w:lineRule="auto"/>
        <w:rPr>
          <w:rFonts w:ascii="Arial"/>
          <w:sz w:val="21"/>
        </w:rPr>
      </w:pPr>
    </w:p>
    <w:p w14:paraId="36FEF9A6">
      <w:pPr>
        <w:spacing w:line="274" w:lineRule="auto"/>
        <w:rPr>
          <w:rFonts w:ascii="Arial"/>
          <w:sz w:val="21"/>
        </w:rPr>
      </w:pPr>
    </w:p>
    <w:p w14:paraId="568AEAEC">
      <w:pPr>
        <w:pStyle w:val="2"/>
        <w:spacing w:before="120" w:line="298" w:lineRule="auto"/>
        <w:ind w:left="29" w:right="126" w:firstLine="562"/>
      </w:pPr>
      <w:r>
        <w:rPr>
          <w:color w:val="666666"/>
          <w:spacing w:val="-2"/>
        </w:rPr>
        <w:t>年初预算为 5.4 万元，支出决算为 5.4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38CF83F">
      <w:pPr>
        <w:pStyle w:val="2"/>
        <w:spacing w:before="135" w:line="302" w:lineRule="auto"/>
        <w:ind w:left="31" w:firstLine="574"/>
      </w:pPr>
      <w:r>
        <w:rPr>
          <w:color w:val="666666"/>
          <w:spacing w:val="-13"/>
        </w:rPr>
        <w:t>3、社会保障和就业支出（类）人力资源和社会保障管理事务（</w:t>
      </w:r>
      <w:r>
        <w:rPr>
          <w:color w:val="666666"/>
          <w:spacing w:val="-14"/>
        </w:rPr>
        <w:t>款）</w:t>
      </w:r>
      <w:r>
        <w:rPr>
          <w:color w:val="666666"/>
        </w:rPr>
        <w:t xml:space="preserve"> </w:t>
      </w:r>
      <w:r>
        <w:rPr>
          <w:color w:val="666666"/>
          <w:spacing w:val="1"/>
        </w:rPr>
        <w:t>一般行政管理事务（项）。</w:t>
      </w:r>
    </w:p>
    <w:p w14:paraId="4592DBB7">
      <w:pPr>
        <w:pStyle w:val="2"/>
        <w:spacing w:before="196" w:line="298" w:lineRule="auto"/>
        <w:ind w:left="29" w:right="126" w:firstLine="562"/>
        <w:jc w:val="both"/>
      </w:pPr>
      <w:r>
        <w:rPr>
          <w:color w:val="666666"/>
          <w:spacing w:val="-4"/>
        </w:rPr>
        <w:t>年初预算为 0.12 万元，支出决算为 0.12</w:t>
      </w:r>
      <w:r>
        <w:rPr>
          <w:color w:val="666666"/>
          <w:spacing w:val="-5"/>
        </w:rPr>
        <w:t xml:space="preserve"> 万元，完成年初预算的</w:t>
      </w:r>
      <w:r>
        <w:rPr>
          <w:color w:val="666666"/>
        </w:rPr>
        <w:t xml:space="preserve"> 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4548CC0">
      <w:pPr>
        <w:pStyle w:val="2"/>
        <w:spacing w:before="133" w:line="302" w:lineRule="auto"/>
        <w:ind w:left="32" w:right="187" w:firstLine="555"/>
      </w:pPr>
      <w:r>
        <w:rPr>
          <w:color w:val="666666"/>
        </w:rPr>
        <w:t>4、社会保障和就业支出（类）行政事业单位养老支出（</w:t>
      </w:r>
      <w:r>
        <w:rPr>
          <w:color w:val="666666"/>
          <w:spacing w:val="-1"/>
        </w:rPr>
        <w:t>款）机</w:t>
      </w:r>
      <w:r>
        <w:rPr>
          <w:color w:val="666666"/>
        </w:rPr>
        <w:t xml:space="preserve"> 关事业单位基本养老保险缴费支出（项）。</w:t>
      </w:r>
    </w:p>
    <w:p w14:paraId="6BFD8EBE">
      <w:pPr>
        <w:pStyle w:val="2"/>
        <w:spacing w:before="197" w:line="298" w:lineRule="auto"/>
        <w:ind w:left="29" w:right="126" w:firstLine="562"/>
        <w:jc w:val="both"/>
      </w:pPr>
      <w:r>
        <w:rPr>
          <w:color w:val="666666"/>
          <w:spacing w:val="-2"/>
        </w:rPr>
        <w:t>年初预算为 193 万元，支出决算为 193 万元，完成年初预算的</w:t>
      </w:r>
      <w:r>
        <w:rPr>
          <w:color w:val="666666"/>
          <w:spacing w:val="4"/>
        </w:rPr>
        <w:t xml:space="preserve">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F58F1D2">
      <w:pPr>
        <w:pStyle w:val="2"/>
        <w:spacing w:before="138" w:line="221" w:lineRule="auto"/>
        <w:ind w:left="610"/>
      </w:pPr>
      <w:r>
        <w:rPr>
          <w:color w:val="666666"/>
        </w:rPr>
        <w:t>5、社会保障和就业支出（类）抚恤（款）死亡</w:t>
      </w:r>
      <w:r>
        <w:rPr>
          <w:color w:val="666666"/>
          <w:spacing w:val="-1"/>
        </w:rPr>
        <w:t>抚恤（项）。</w:t>
      </w:r>
    </w:p>
    <w:p w14:paraId="29C4B8CE">
      <w:pPr>
        <w:pStyle w:val="2"/>
        <w:spacing w:before="335" w:line="304" w:lineRule="auto"/>
        <w:ind w:left="30" w:right="165" w:firstLine="560"/>
        <w:jc w:val="both"/>
      </w:pPr>
      <w:r>
        <w:rPr>
          <w:color w:val="666666"/>
          <w:spacing w:val="-2"/>
        </w:rPr>
        <w:t>年初预算为 19.47 万元，支出决算为 19.47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39332AA0">
      <w:pPr>
        <w:pStyle w:val="2"/>
        <w:spacing w:before="115" w:line="302" w:lineRule="auto"/>
        <w:ind w:right="187" w:firstLine="602"/>
      </w:pPr>
      <w:r>
        <w:rPr>
          <w:color w:val="666666"/>
          <w:spacing w:val="-1"/>
        </w:rPr>
        <w:t>6、社会保障和就业支出（类）财政对其他社会保险基金的补助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2"/>
        </w:rPr>
        <w:t>（款）财政对失业保险基金的补助（项）。</w:t>
      </w:r>
    </w:p>
    <w:p w14:paraId="0EF715CB">
      <w:pPr>
        <w:spacing w:line="302" w:lineRule="auto"/>
        <w:sectPr>
          <w:pgSz w:w="11906" w:h="16839"/>
          <w:pgMar w:top="400" w:right="1633" w:bottom="0" w:left="1772" w:header="0" w:footer="0" w:gutter="0"/>
          <w:cols w:space="720" w:num="1"/>
        </w:sectPr>
      </w:pPr>
    </w:p>
    <w:p w14:paraId="75EBBB4B">
      <w:pPr>
        <w:spacing w:line="274" w:lineRule="auto"/>
        <w:rPr>
          <w:rFonts w:ascii="Arial"/>
          <w:sz w:val="21"/>
        </w:rPr>
      </w:pPr>
    </w:p>
    <w:p w14:paraId="2EFD5746">
      <w:pPr>
        <w:spacing w:line="274" w:lineRule="auto"/>
        <w:rPr>
          <w:rFonts w:ascii="Arial"/>
          <w:sz w:val="21"/>
        </w:rPr>
      </w:pPr>
    </w:p>
    <w:p w14:paraId="3F7EBEA7">
      <w:pPr>
        <w:spacing w:line="274" w:lineRule="auto"/>
        <w:rPr>
          <w:rFonts w:ascii="Arial"/>
          <w:sz w:val="21"/>
        </w:rPr>
      </w:pPr>
    </w:p>
    <w:p w14:paraId="58495E65">
      <w:pPr>
        <w:spacing w:line="274" w:lineRule="auto"/>
        <w:rPr>
          <w:rFonts w:ascii="Arial"/>
          <w:sz w:val="21"/>
        </w:rPr>
      </w:pPr>
    </w:p>
    <w:p w14:paraId="11367D42">
      <w:pPr>
        <w:pStyle w:val="2"/>
        <w:spacing w:before="120" w:line="298" w:lineRule="auto"/>
        <w:ind w:left="29" w:right="45" w:firstLine="562"/>
      </w:pPr>
      <w:r>
        <w:rPr>
          <w:color w:val="666666"/>
          <w:spacing w:val="-2"/>
        </w:rPr>
        <w:t>年初预算为 8.6 万元，支出决算为 8.6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36B67538">
      <w:pPr>
        <w:pStyle w:val="2"/>
        <w:spacing w:before="135" w:line="302" w:lineRule="auto"/>
        <w:ind w:right="106" w:firstLine="599"/>
      </w:pPr>
      <w:r>
        <w:rPr>
          <w:color w:val="666666"/>
          <w:spacing w:val="-1"/>
        </w:rPr>
        <w:t>7、社会保障和就业支出（类）财政对其他社会保险基金的补助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2"/>
        </w:rPr>
        <w:t>（款）财政对工伤保险基金的补助（项）。</w:t>
      </w:r>
    </w:p>
    <w:p w14:paraId="60BCCF3B">
      <w:pPr>
        <w:pStyle w:val="2"/>
        <w:spacing w:before="195" w:line="304" w:lineRule="auto"/>
        <w:ind w:left="30" w:right="85" w:firstLine="560"/>
        <w:jc w:val="both"/>
      </w:pPr>
      <w:r>
        <w:rPr>
          <w:color w:val="666666"/>
          <w:spacing w:val="-2"/>
        </w:rPr>
        <w:t>年初预算为 11.06 万元，支出决算为 11.06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0D7DFD6D">
      <w:pPr>
        <w:pStyle w:val="2"/>
        <w:spacing w:before="114" w:line="302" w:lineRule="auto"/>
        <w:ind w:right="106" w:firstLine="600"/>
      </w:pPr>
      <w:r>
        <w:rPr>
          <w:color w:val="666666"/>
          <w:spacing w:val="-1"/>
        </w:rPr>
        <w:t>8、社会保障和就业支出（类）财政对其他社会保险基金的补助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2"/>
        </w:rPr>
        <w:t>（款）其他财政对社会保险基金的补助（项）。</w:t>
      </w:r>
    </w:p>
    <w:p w14:paraId="68931A26">
      <w:pPr>
        <w:pStyle w:val="2"/>
        <w:spacing w:before="196" w:line="298" w:lineRule="auto"/>
        <w:ind w:left="29" w:right="45" w:firstLine="562"/>
        <w:jc w:val="both"/>
      </w:pPr>
      <w:r>
        <w:rPr>
          <w:color w:val="666666"/>
          <w:spacing w:val="-4"/>
        </w:rPr>
        <w:t>年初预算为 9.83 万元，支出决算为 9.83</w:t>
      </w:r>
      <w:r>
        <w:rPr>
          <w:color w:val="666666"/>
          <w:spacing w:val="-5"/>
        </w:rPr>
        <w:t xml:space="preserve"> 万元，完成年初预算的</w:t>
      </w:r>
      <w:r>
        <w:rPr>
          <w:color w:val="666666"/>
        </w:rPr>
        <w:t xml:space="preserve"> 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32C7CBC8">
      <w:pPr>
        <w:pStyle w:val="2"/>
        <w:spacing w:before="136" w:line="302" w:lineRule="auto"/>
        <w:ind w:left="31" w:right="80" w:firstLine="568"/>
      </w:pPr>
      <w:r>
        <w:rPr>
          <w:color w:val="666666"/>
        </w:rPr>
        <w:t>9、社会保障和就业支出（类）其他社会保障和就业支出（款）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其他社会保障和就业支出（项）。</w:t>
      </w:r>
    </w:p>
    <w:p w14:paraId="56404A93">
      <w:pPr>
        <w:pStyle w:val="2"/>
        <w:spacing w:before="195" w:line="304" w:lineRule="auto"/>
        <w:ind w:left="30" w:right="85" w:firstLine="560"/>
        <w:jc w:val="both"/>
      </w:pPr>
      <w:r>
        <w:rPr>
          <w:color w:val="666666"/>
          <w:spacing w:val="-2"/>
        </w:rPr>
        <w:t>年初预算为 95.71 万元，支出决算为 95.71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2AE76566">
      <w:pPr>
        <w:pStyle w:val="2"/>
        <w:spacing w:before="117" w:line="221" w:lineRule="auto"/>
        <w:jc w:val="right"/>
      </w:pPr>
      <w:r>
        <w:rPr>
          <w:color w:val="666666"/>
          <w:spacing w:val="-21"/>
        </w:rPr>
        <w:t>10、卫生健康支出（类）卫生健康管理事务（款）行政运行（项）。</w:t>
      </w:r>
    </w:p>
    <w:p w14:paraId="6D61F1EB">
      <w:pPr>
        <w:spacing w:line="221" w:lineRule="auto"/>
        <w:sectPr>
          <w:pgSz w:w="11906" w:h="16839"/>
          <w:pgMar w:top="400" w:right="1714" w:bottom="0" w:left="1772" w:header="0" w:footer="0" w:gutter="0"/>
          <w:cols w:space="720" w:num="1"/>
        </w:sectPr>
      </w:pPr>
    </w:p>
    <w:p w14:paraId="6F11CFA9">
      <w:pPr>
        <w:spacing w:line="275" w:lineRule="auto"/>
        <w:rPr>
          <w:rFonts w:ascii="Arial"/>
          <w:sz w:val="21"/>
        </w:rPr>
      </w:pPr>
    </w:p>
    <w:p w14:paraId="7D82C5CF">
      <w:pPr>
        <w:spacing w:line="275" w:lineRule="auto"/>
        <w:rPr>
          <w:rFonts w:ascii="Arial"/>
          <w:sz w:val="21"/>
        </w:rPr>
      </w:pPr>
    </w:p>
    <w:p w14:paraId="7611773B">
      <w:pPr>
        <w:spacing w:line="275" w:lineRule="auto"/>
        <w:rPr>
          <w:rFonts w:ascii="Arial"/>
          <w:sz w:val="21"/>
        </w:rPr>
      </w:pPr>
    </w:p>
    <w:p w14:paraId="070F5385">
      <w:pPr>
        <w:spacing w:line="275" w:lineRule="auto"/>
        <w:rPr>
          <w:rFonts w:ascii="Arial"/>
          <w:sz w:val="21"/>
        </w:rPr>
      </w:pPr>
    </w:p>
    <w:p w14:paraId="284984FF">
      <w:pPr>
        <w:pStyle w:val="2"/>
        <w:spacing w:before="120" w:line="304" w:lineRule="auto"/>
        <w:ind w:left="32" w:right="39" w:firstLine="559"/>
        <w:jc w:val="both"/>
      </w:pPr>
      <w:r>
        <w:rPr>
          <w:color w:val="666666"/>
          <w:spacing w:val="-2"/>
        </w:rPr>
        <w:t>年初预算为 1842.2 万元，支出决算为 1842.2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0353CB6E">
      <w:pPr>
        <w:pStyle w:val="2"/>
        <w:spacing w:before="111" w:line="302" w:lineRule="auto"/>
        <w:ind w:left="29" w:right="176" w:firstLine="581"/>
      </w:pPr>
      <w:r>
        <w:rPr>
          <w:color w:val="666666"/>
          <w:spacing w:val="-1"/>
        </w:rPr>
        <w:t>11、卫生健康支出（类）卫生健康管理事务（款）一般行政管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2"/>
        </w:rPr>
        <w:t>理事务（项）。</w:t>
      </w:r>
    </w:p>
    <w:p w14:paraId="76B9DEBA">
      <w:pPr>
        <w:pStyle w:val="2"/>
        <w:spacing w:before="200" w:line="304" w:lineRule="auto"/>
        <w:ind w:left="32" w:right="39" w:firstLine="559"/>
        <w:jc w:val="both"/>
      </w:pPr>
      <w:r>
        <w:rPr>
          <w:color w:val="666666"/>
          <w:spacing w:val="-2"/>
        </w:rPr>
        <w:t>年初预算为 255.36 万元，支出决算为 255.36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2B5CEA0A">
      <w:pPr>
        <w:pStyle w:val="2"/>
        <w:spacing w:before="109" w:line="302" w:lineRule="auto"/>
        <w:ind w:left="30" w:right="176" w:firstLine="579"/>
      </w:pPr>
      <w:r>
        <w:rPr>
          <w:color w:val="666666"/>
          <w:spacing w:val="-1"/>
        </w:rPr>
        <w:t>12、卫生健康支出（类）卫生健康管理事务（款）其他卫生健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"/>
        </w:rPr>
        <w:t>康管理事务支出（项）。</w:t>
      </w:r>
    </w:p>
    <w:p w14:paraId="721AEC8C">
      <w:pPr>
        <w:pStyle w:val="2"/>
        <w:spacing w:before="196" w:line="298" w:lineRule="auto"/>
        <w:ind w:left="29" w:firstLine="562"/>
      </w:pPr>
      <w:r>
        <w:rPr>
          <w:color w:val="666666"/>
          <w:spacing w:val="-2"/>
        </w:rPr>
        <w:t>年初预算为 8.4 万元，支出决算为 8.4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11EAC580">
      <w:pPr>
        <w:pStyle w:val="2"/>
        <w:spacing w:before="135" w:line="302" w:lineRule="auto"/>
        <w:ind w:right="176" w:firstLine="610"/>
      </w:pPr>
      <w:r>
        <w:rPr>
          <w:color w:val="666666"/>
          <w:spacing w:val="-1"/>
        </w:rPr>
        <w:t>13、卫生健康支出（类）基层医疗卫生机构（款）乡镇卫生院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1"/>
        </w:rPr>
        <w:t>（项）。</w:t>
      </w:r>
    </w:p>
    <w:p w14:paraId="24CA83EC">
      <w:pPr>
        <w:pStyle w:val="2"/>
        <w:spacing w:before="201" w:line="304" w:lineRule="auto"/>
        <w:ind w:left="28" w:right="39" w:firstLine="562"/>
        <w:jc w:val="both"/>
      </w:pPr>
      <w:r>
        <w:rPr>
          <w:color w:val="666666"/>
          <w:spacing w:val="-2"/>
        </w:rPr>
        <w:t>年初预算为 6281.24 万元，支出决算为 6281.24 万元，完成年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3"/>
        </w:rPr>
        <w:t>初预算的 100%，决算数与年初预算数相符。决算数与年初预算数持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3"/>
        </w:rPr>
        <w:t>平的主要原因是：根据项目的使用情况，严格执行年</w:t>
      </w:r>
      <w:r>
        <w:rPr>
          <w:color w:val="666666"/>
          <w:spacing w:val="-4"/>
        </w:rPr>
        <w:t>初预算，无预算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不支出。</w:t>
      </w:r>
    </w:p>
    <w:p w14:paraId="2DE0C75C">
      <w:pPr>
        <w:spacing w:line="304" w:lineRule="auto"/>
        <w:sectPr>
          <w:pgSz w:w="11906" w:h="16839"/>
          <w:pgMar w:top="400" w:right="1759" w:bottom="0" w:left="1772" w:header="0" w:footer="0" w:gutter="0"/>
          <w:cols w:space="720" w:num="1"/>
        </w:sectPr>
      </w:pPr>
    </w:p>
    <w:p w14:paraId="27034734">
      <w:pPr>
        <w:spacing w:line="261" w:lineRule="auto"/>
        <w:rPr>
          <w:rFonts w:ascii="Arial"/>
          <w:sz w:val="21"/>
        </w:rPr>
      </w:pPr>
    </w:p>
    <w:p w14:paraId="2F6D95F9">
      <w:pPr>
        <w:spacing w:line="261" w:lineRule="auto"/>
        <w:rPr>
          <w:rFonts w:ascii="Arial"/>
          <w:sz w:val="21"/>
        </w:rPr>
      </w:pPr>
    </w:p>
    <w:p w14:paraId="3EA65967">
      <w:pPr>
        <w:spacing w:line="261" w:lineRule="auto"/>
        <w:rPr>
          <w:rFonts w:ascii="Arial"/>
          <w:sz w:val="21"/>
        </w:rPr>
      </w:pPr>
    </w:p>
    <w:p w14:paraId="68571D67">
      <w:pPr>
        <w:spacing w:line="261" w:lineRule="auto"/>
        <w:rPr>
          <w:rFonts w:ascii="Arial"/>
          <w:sz w:val="21"/>
        </w:rPr>
      </w:pPr>
    </w:p>
    <w:p w14:paraId="2AD95A7F">
      <w:pPr>
        <w:pStyle w:val="2"/>
        <w:spacing w:before="120" w:line="302" w:lineRule="auto"/>
        <w:ind w:left="31" w:right="221" w:firstLine="579"/>
      </w:pPr>
      <w:r>
        <w:rPr>
          <w:color w:val="666666"/>
          <w:spacing w:val="-1"/>
        </w:rPr>
        <w:t>14、卫生健康支出（类）基层医疗卫生机构（款）其他基层医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"/>
        </w:rPr>
        <w:t>疗卫生机构支出（项）。</w:t>
      </w:r>
    </w:p>
    <w:p w14:paraId="485E12B7">
      <w:pPr>
        <w:pStyle w:val="2"/>
        <w:spacing w:before="200" w:line="304" w:lineRule="auto"/>
        <w:ind w:left="32" w:right="85" w:firstLine="559"/>
        <w:jc w:val="both"/>
      </w:pPr>
      <w:r>
        <w:rPr>
          <w:color w:val="666666"/>
          <w:spacing w:val="-2"/>
        </w:rPr>
        <w:t>年初预算为 315.87 万元，支出决算为 315.87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757D54D6">
      <w:pPr>
        <w:pStyle w:val="2"/>
        <w:spacing w:before="113" w:line="221" w:lineRule="auto"/>
        <w:jc w:val="right"/>
      </w:pPr>
      <w:r>
        <w:rPr>
          <w:color w:val="666666"/>
          <w:spacing w:val="-3"/>
        </w:rPr>
        <w:t>15、卫生健康支出（类）公共卫生（款）卫生监督机构（项）。</w:t>
      </w:r>
    </w:p>
    <w:p w14:paraId="347A4479">
      <w:pPr>
        <w:pStyle w:val="2"/>
        <w:spacing w:before="335" w:line="184" w:lineRule="auto"/>
        <w:ind w:left="591"/>
      </w:pPr>
      <w:r>
        <w:rPr>
          <w:color w:val="666666"/>
          <w:spacing w:val="-2"/>
        </w:rPr>
        <w:t>年初预算为 22 万元，支出决算为 22 万元，完成年初预算的</w:t>
      </w:r>
    </w:p>
    <w:p w14:paraId="19252CA6">
      <w:pPr>
        <w:pStyle w:val="2"/>
        <w:spacing w:before="205" w:line="300" w:lineRule="auto"/>
        <w:ind w:left="29" w:right="45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5660E922">
      <w:pPr>
        <w:pStyle w:val="2"/>
        <w:spacing w:before="152" w:line="221" w:lineRule="auto"/>
        <w:jc w:val="right"/>
      </w:pPr>
      <w:r>
        <w:rPr>
          <w:color w:val="666666"/>
          <w:spacing w:val="-21"/>
        </w:rPr>
        <w:t>16、卫生健康支出（类）公共卫生（款）基本公共卫生服务（项）。</w:t>
      </w:r>
    </w:p>
    <w:p w14:paraId="15392406">
      <w:pPr>
        <w:pStyle w:val="2"/>
        <w:spacing w:before="341" w:line="304" w:lineRule="auto"/>
        <w:ind w:left="32" w:right="85" w:firstLine="559"/>
        <w:jc w:val="both"/>
      </w:pPr>
      <w:r>
        <w:rPr>
          <w:color w:val="666666"/>
          <w:spacing w:val="-2"/>
        </w:rPr>
        <w:t>年初预算为 6470.9 万元，支出决算为 6470.9 万元，完成年初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3"/>
        </w:rPr>
        <w:t>预算的 100%，决算数与年初预算数相符。决算数与年初预算数持平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的主要原因是：根据项目的使用情况，严格执</w:t>
      </w:r>
      <w:r>
        <w:rPr>
          <w:color w:val="666666"/>
          <w:spacing w:val="-4"/>
        </w:rPr>
        <w:t>行年初预算，无预算不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支出。</w:t>
      </w:r>
    </w:p>
    <w:p w14:paraId="0599C3C6">
      <w:pPr>
        <w:pStyle w:val="2"/>
        <w:spacing w:before="114" w:line="221" w:lineRule="auto"/>
        <w:jc w:val="right"/>
      </w:pPr>
      <w:r>
        <w:rPr>
          <w:color w:val="666666"/>
          <w:spacing w:val="-21"/>
        </w:rPr>
        <w:t>17、卫生健康支出（类）公共卫生（款）重大公共卫生服务（项）。</w:t>
      </w:r>
    </w:p>
    <w:p w14:paraId="5AA4488F">
      <w:pPr>
        <w:pStyle w:val="2"/>
        <w:spacing w:before="335" w:line="298" w:lineRule="auto"/>
        <w:ind w:left="31" w:firstLine="560"/>
        <w:jc w:val="both"/>
      </w:pPr>
      <w:r>
        <w:rPr>
          <w:color w:val="666666"/>
          <w:spacing w:val="-2"/>
        </w:rPr>
        <w:t>年初预算为 1729 万元，支出决算为 1729 万元，完成年初预算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3"/>
        </w:rPr>
        <w:t>的 100%，决算数与年初预算数相符。决算数与年初预算数持平的主</w:t>
      </w:r>
      <w:r>
        <w:rPr>
          <w:color w:val="666666"/>
          <w:spacing w:val="6"/>
        </w:rPr>
        <w:t xml:space="preserve">  </w:t>
      </w:r>
      <w:r>
        <w:rPr>
          <w:color w:val="666666"/>
          <w:spacing w:val="-10"/>
        </w:rPr>
        <w:t>要原因是：根据项目的使用情况，严格执行年初预算，无预算不支出。</w:t>
      </w:r>
    </w:p>
    <w:p w14:paraId="3333C1A7">
      <w:pPr>
        <w:pStyle w:val="2"/>
        <w:spacing w:before="136" w:line="302" w:lineRule="auto"/>
        <w:ind w:right="221" w:firstLine="610"/>
      </w:pPr>
      <w:r>
        <w:rPr>
          <w:color w:val="666666"/>
          <w:spacing w:val="-1"/>
        </w:rPr>
        <w:t>18、卫生健康支出（类）中医药（款）中医（民族医）药专项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11"/>
        </w:rPr>
        <w:t>（项）。</w:t>
      </w:r>
    </w:p>
    <w:p w14:paraId="575C09C1">
      <w:pPr>
        <w:spacing w:line="302" w:lineRule="auto"/>
        <w:sectPr>
          <w:pgSz w:w="11906" w:h="16839"/>
          <w:pgMar w:top="400" w:right="1714" w:bottom="0" w:left="1772" w:header="0" w:footer="0" w:gutter="0"/>
          <w:cols w:space="720" w:num="1"/>
        </w:sectPr>
      </w:pPr>
    </w:p>
    <w:p w14:paraId="5BCF9510">
      <w:pPr>
        <w:spacing w:line="274" w:lineRule="auto"/>
        <w:rPr>
          <w:rFonts w:ascii="Arial"/>
          <w:sz w:val="21"/>
        </w:rPr>
      </w:pPr>
    </w:p>
    <w:p w14:paraId="4DE4D366">
      <w:pPr>
        <w:spacing w:line="274" w:lineRule="auto"/>
        <w:rPr>
          <w:rFonts w:ascii="Arial"/>
          <w:sz w:val="21"/>
        </w:rPr>
      </w:pPr>
    </w:p>
    <w:p w14:paraId="32AC9338">
      <w:pPr>
        <w:spacing w:line="274" w:lineRule="auto"/>
        <w:rPr>
          <w:rFonts w:ascii="Arial"/>
          <w:sz w:val="21"/>
        </w:rPr>
      </w:pPr>
    </w:p>
    <w:p w14:paraId="2D39B87D">
      <w:pPr>
        <w:spacing w:line="274" w:lineRule="auto"/>
        <w:rPr>
          <w:rFonts w:ascii="Arial"/>
          <w:sz w:val="21"/>
        </w:rPr>
      </w:pPr>
    </w:p>
    <w:p w14:paraId="1E39A2F0">
      <w:pPr>
        <w:pStyle w:val="2"/>
        <w:spacing w:before="120" w:line="298" w:lineRule="auto"/>
        <w:ind w:left="16" w:right="45" w:firstLine="562"/>
      </w:pPr>
      <w:r>
        <w:rPr>
          <w:color w:val="666666"/>
          <w:spacing w:val="-2"/>
        </w:rPr>
        <w:t>年初预算为 4.5 万元，支出决算为 4.5 万元，完成年初预算的</w:t>
      </w:r>
      <w:r>
        <w:rPr>
          <w:color w:val="666666"/>
          <w:spacing w:val="2"/>
        </w:rPr>
        <w:t xml:space="preserve">    </w:t>
      </w:r>
      <w:r>
        <w:rPr>
          <w:color w:val="666666"/>
        </w:rPr>
        <w:t>100%，决算数与年初预算数相符。决算数与年初预算数持平</w:t>
      </w:r>
      <w:r>
        <w:rPr>
          <w:color w:val="666666"/>
          <w:spacing w:val="-1"/>
        </w:rPr>
        <w:t>的主要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1B13141A">
      <w:pPr>
        <w:pStyle w:val="2"/>
        <w:spacing w:before="137" w:line="221" w:lineRule="auto"/>
        <w:jc w:val="right"/>
      </w:pPr>
      <w:r>
        <w:rPr>
          <w:color w:val="666666"/>
          <w:spacing w:val="-21"/>
        </w:rPr>
        <w:t>19、卫生健康支出（类）计划生育事务（款）计划生育服务（项）。</w:t>
      </w:r>
    </w:p>
    <w:p w14:paraId="10001DA4">
      <w:pPr>
        <w:pStyle w:val="2"/>
        <w:spacing w:before="335" w:line="304" w:lineRule="auto"/>
        <w:ind w:left="18" w:right="85" w:firstLine="560"/>
        <w:jc w:val="both"/>
      </w:pPr>
      <w:r>
        <w:rPr>
          <w:color w:val="666666"/>
          <w:spacing w:val="-2"/>
        </w:rPr>
        <w:t>年初预算为 27.12 万元，支出决算为 27.12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主要原因是：根据项目的使用情况，严格执行年</w:t>
      </w:r>
      <w:r>
        <w:rPr>
          <w:color w:val="666666"/>
          <w:spacing w:val="-4"/>
        </w:rPr>
        <w:t>初预算，无预算不支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出。</w:t>
      </w:r>
    </w:p>
    <w:p w14:paraId="32133033">
      <w:pPr>
        <w:pStyle w:val="2"/>
        <w:spacing w:before="114" w:line="302" w:lineRule="auto"/>
        <w:ind w:left="15" w:right="221" w:firstLine="572"/>
      </w:pPr>
      <w:r>
        <w:rPr>
          <w:color w:val="666666"/>
          <w:spacing w:val="-1"/>
        </w:rPr>
        <w:t>20、卫生健康支出（类）计划生育事务（款）其他计划生育事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2"/>
        </w:rPr>
        <w:t>务支出（项）。</w:t>
      </w:r>
    </w:p>
    <w:p w14:paraId="4B1CDBFC">
      <w:pPr>
        <w:pStyle w:val="2"/>
        <w:spacing w:before="197" w:line="184" w:lineRule="auto"/>
        <w:ind w:left="578"/>
      </w:pPr>
      <w:r>
        <w:rPr>
          <w:color w:val="666666"/>
          <w:spacing w:val="-2"/>
        </w:rPr>
        <w:t>年初预算为 60 万元，支出决算为 60 万元，完成年初预算的</w:t>
      </w:r>
    </w:p>
    <w:p w14:paraId="2104F68A">
      <w:pPr>
        <w:pStyle w:val="2"/>
        <w:spacing w:before="206" w:line="300" w:lineRule="auto"/>
        <w:ind w:left="16" w:right="45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02D75800">
      <w:pPr>
        <w:pStyle w:val="2"/>
        <w:spacing w:before="150" w:line="302" w:lineRule="auto"/>
        <w:ind w:left="18" w:right="221" w:firstLine="569"/>
      </w:pPr>
      <w:r>
        <w:rPr>
          <w:color w:val="666666"/>
          <w:spacing w:val="-1"/>
        </w:rPr>
        <w:t>21、卫生健康支出（类）行政事业单位医疗（款）行政单位医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2"/>
        </w:rPr>
        <w:t>疗（项）。</w:t>
      </w:r>
    </w:p>
    <w:p w14:paraId="08D3E869">
      <w:pPr>
        <w:pStyle w:val="2"/>
        <w:spacing w:before="197" w:line="184" w:lineRule="auto"/>
        <w:ind w:left="578"/>
      </w:pPr>
      <w:r>
        <w:rPr>
          <w:color w:val="666666"/>
          <w:spacing w:val="-2"/>
        </w:rPr>
        <w:t>年初预算为 94 万元，支出决算为 94 万元，完成年初预算的</w:t>
      </w:r>
    </w:p>
    <w:p w14:paraId="6DB3DCA9">
      <w:pPr>
        <w:pStyle w:val="2"/>
        <w:spacing w:before="206" w:line="300" w:lineRule="auto"/>
        <w:ind w:left="16" w:right="45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1EBDDB11">
      <w:pPr>
        <w:pStyle w:val="2"/>
        <w:spacing w:before="150" w:line="221" w:lineRule="auto"/>
        <w:jc w:val="right"/>
      </w:pPr>
      <w:r>
        <w:rPr>
          <w:color w:val="666666"/>
          <w:spacing w:val="-20"/>
        </w:rPr>
        <w:t>22、卫生健康支出（类）医疗救助（款）</w:t>
      </w:r>
      <w:r>
        <w:rPr>
          <w:color w:val="666666"/>
          <w:spacing w:val="-21"/>
        </w:rPr>
        <w:t>其他医疗救助支出（项）。</w:t>
      </w:r>
    </w:p>
    <w:p w14:paraId="20046606">
      <w:pPr>
        <w:pStyle w:val="2"/>
        <w:spacing w:before="338" w:line="316" w:lineRule="auto"/>
        <w:ind w:left="18" w:right="85" w:firstLine="560"/>
      </w:pPr>
      <w:r>
        <w:rPr>
          <w:color w:val="666666"/>
          <w:spacing w:val="-2"/>
        </w:rPr>
        <w:t>年初预算为 20.13 万元，支出决算为 20.13 万元，完成年初预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算的 100%，决算数与年初预算数相符。决算数与年初预算数持平的</w:t>
      </w:r>
    </w:p>
    <w:p w14:paraId="5297CBC4">
      <w:pPr>
        <w:spacing w:line="316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0134D51C">
      <w:pPr>
        <w:spacing w:line="274" w:lineRule="auto"/>
        <w:rPr>
          <w:rFonts w:ascii="Arial"/>
          <w:sz w:val="21"/>
        </w:rPr>
      </w:pPr>
    </w:p>
    <w:p w14:paraId="0AFF41B9">
      <w:pPr>
        <w:spacing w:line="275" w:lineRule="auto"/>
        <w:rPr>
          <w:rFonts w:ascii="Arial"/>
          <w:sz w:val="21"/>
        </w:rPr>
      </w:pPr>
    </w:p>
    <w:p w14:paraId="5614062D">
      <w:pPr>
        <w:spacing w:line="275" w:lineRule="auto"/>
        <w:rPr>
          <w:rFonts w:ascii="Arial"/>
          <w:sz w:val="21"/>
        </w:rPr>
      </w:pPr>
    </w:p>
    <w:p w14:paraId="100FE6BB">
      <w:pPr>
        <w:spacing w:line="275" w:lineRule="auto"/>
        <w:rPr>
          <w:rFonts w:ascii="Arial"/>
          <w:sz w:val="21"/>
        </w:rPr>
      </w:pPr>
    </w:p>
    <w:p w14:paraId="380882E2">
      <w:pPr>
        <w:pStyle w:val="2"/>
        <w:spacing w:before="120" w:line="309" w:lineRule="auto"/>
        <w:ind w:left="39" w:right="39" w:hanging="19"/>
      </w:pPr>
      <w:r>
        <w:rPr>
          <w:color w:val="666666"/>
          <w:spacing w:val="-3"/>
        </w:rPr>
        <w:t>主要原因是：根据项目的使用情况，严格执</w:t>
      </w:r>
      <w:r>
        <w:rPr>
          <w:color w:val="666666"/>
          <w:spacing w:val="-4"/>
        </w:rPr>
        <w:t>行年初预算，无预算不支</w:t>
      </w:r>
      <w:r>
        <w:rPr>
          <w:color w:val="666666"/>
        </w:rPr>
        <w:t xml:space="preserve"> </w:t>
      </w:r>
      <w:r>
        <w:rPr>
          <w:color w:val="666666"/>
          <w:spacing w:val="-13"/>
        </w:rPr>
        <w:t>出。</w:t>
      </w:r>
    </w:p>
    <w:p w14:paraId="0B38B118">
      <w:pPr>
        <w:pStyle w:val="2"/>
        <w:spacing w:before="61" w:line="302" w:lineRule="auto"/>
        <w:ind w:left="18" w:right="176" w:firstLine="569"/>
      </w:pPr>
      <w:r>
        <w:rPr>
          <w:color w:val="666666"/>
          <w:spacing w:val="-1"/>
        </w:rPr>
        <w:t>23、卫生健康支出（类）其他卫生健康支出（款）其他卫生健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2"/>
        </w:rPr>
        <w:t>康支出（项）。</w:t>
      </w:r>
    </w:p>
    <w:p w14:paraId="36CE2541">
      <w:pPr>
        <w:pStyle w:val="2"/>
        <w:spacing w:before="197" w:line="184" w:lineRule="auto"/>
        <w:ind w:left="578"/>
      </w:pPr>
      <w:r>
        <w:rPr>
          <w:color w:val="666666"/>
          <w:spacing w:val="-2"/>
        </w:rPr>
        <w:t>年初预算为 16 万元，支出决算为 16 万元，完成年初预算的</w:t>
      </w:r>
    </w:p>
    <w:p w14:paraId="2A990132">
      <w:pPr>
        <w:pStyle w:val="2"/>
        <w:spacing w:before="205" w:line="300" w:lineRule="auto"/>
        <w:ind w:left="16" w:firstLine="22"/>
      </w:pPr>
      <w:r>
        <w:rPr>
          <w:color w:val="666666"/>
          <w:spacing w:val="-1"/>
        </w:rPr>
        <w:t>100%，决算数与年初预算数相符。决算数与年初预算数持平的主要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2"/>
        </w:rPr>
        <w:t>原因是：根据项目的使用情况，严格执行年初预算，无预算不支出。</w:t>
      </w:r>
    </w:p>
    <w:p w14:paraId="217CAC12">
      <w:pPr>
        <w:pStyle w:val="2"/>
        <w:spacing w:before="199" w:line="185" w:lineRule="auto"/>
        <w:ind w:left="577"/>
        <w:outlineLvl w:val="1"/>
      </w:pPr>
      <w:r>
        <w:rPr>
          <w:b/>
          <w:bCs/>
          <w:color w:val="666666"/>
          <w:spacing w:val="-4"/>
        </w:rPr>
        <w:t>六、一般公共预算财政拨款基本支出决算情况说明</w:t>
      </w:r>
    </w:p>
    <w:p w14:paraId="4AD949E2">
      <w:pPr>
        <w:pStyle w:val="2"/>
        <w:spacing w:before="360" w:line="184" w:lineRule="auto"/>
        <w:ind w:left="587"/>
      </w:pPr>
      <w:r>
        <w:rPr>
          <w:color w:val="666666"/>
          <w:spacing w:val="-1"/>
        </w:rPr>
        <w:t xml:space="preserve">2022 年度财政拨款基本支出 17234.43 </w:t>
      </w:r>
      <w:r>
        <w:rPr>
          <w:color w:val="666666"/>
          <w:spacing w:val="-2"/>
        </w:rPr>
        <w:t>万元，其中：</w:t>
      </w:r>
    </w:p>
    <w:p w14:paraId="7BDE41B8">
      <w:pPr>
        <w:pStyle w:val="2"/>
        <w:spacing w:before="310" w:line="300" w:lineRule="auto"/>
        <w:ind w:left="21" w:right="161" w:firstLine="555"/>
      </w:pPr>
      <w:r>
        <w:rPr>
          <w:color w:val="666666"/>
          <w:spacing w:val="-2"/>
        </w:rPr>
        <w:t>人员经费 6612.65 万元，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2"/>
        </w:rPr>
        <w:t>占基本支出的 38.3</w:t>
      </w:r>
      <w:r>
        <w:rPr>
          <w:color w:val="666666"/>
          <w:spacing w:val="-3"/>
        </w:rPr>
        <w:t>7%,主要包括基本</w:t>
      </w:r>
      <w:r>
        <w:rPr>
          <w:color w:val="666666"/>
        </w:rPr>
        <w:t xml:space="preserve"> 工资、津贴补贴、伙食补助费、对个人和家庭</w:t>
      </w:r>
      <w:r>
        <w:rPr>
          <w:color w:val="666666"/>
          <w:spacing w:val="-1"/>
        </w:rPr>
        <w:t>的补助等人员经费。</w:t>
      </w:r>
    </w:p>
    <w:p w14:paraId="53ED5387">
      <w:pPr>
        <w:pStyle w:val="2"/>
        <w:spacing w:before="153" w:line="300" w:lineRule="auto"/>
        <w:ind w:left="17" w:right="65" w:firstLine="559"/>
      </w:pPr>
      <w:r>
        <w:rPr>
          <w:color w:val="666666"/>
          <w:spacing w:val="-2"/>
        </w:rPr>
        <w:t>公用经费 10621.78 万元，</w:t>
      </w:r>
      <w:r>
        <w:rPr>
          <w:color w:val="666666"/>
          <w:spacing w:val="-44"/>
        </w:rPr>
        <w:t xml:space="preserve"> </w:t>
      </w:r>
      <w:r>
        <w:rPr>
          <w:color w:val="666666"/>
          <w:spacing w:val="-2"/>
        </w:rPr>
        <w:t>占基本支出的 61.</w:t>
      </w:r>
      <w:r>
        <w:rPr>
          <w:color w:val="666666"/>
          <w:spacing w:val="-3"/>
        </w:rPr>
        <w:t>63%，主要包括办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公费、印刷费、咨询费等商品和服务支出。</w:t>
      </w:r>
    </w:p>
    <w:p w14:paraId="75993A9F">
      <w:pPr>
        <w:pStyle w:val="2"/>
        <w:spacing w:before="200" w:line="185" w:lineRule="auto"/>
        <w:ind w:left="579"/>
        <w:outlineLvl w:val="1"/>
      </w:pP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10795</wp:posOffset>
                </wp:positionV>
                <wp:extent cx="4089400" cy="350520"/>
                <wp:effectExtent l="0" t="0" r="0" b="0"/>
                <wp:wrapNone/>
                <wp:docPr id="40" name="R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2353" y="10972"/>
                          <a:ext cx="4089400" cy="35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0" o:spid="_x0000_s1026" o:spt="1" style="position:absolute;left:0pt;margin-left:42.7pt;margin-top:0.85pt;height:27.6pt;width:322pt;z-index:-251654144;mso-width-relative:page;mso-height-relative:page;" filled="f" stroked="f" coordsize="21600,21600" o:gfxdata="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DiJndQAAAAHAQAADwAA&#10;AAAAAAABACAAAAAiAAAAZHJzL2Rvd25yZXYueG1sUEsBAhQAFAAAAAgAh07iQMcE5E8aAgAARAQA&#10;AA4AAAAAAAAAAQAgAAAAIwEAAGRycy9lMm9Eb2MueG1sUEsFBgAAAAAGAAYAWQEAAK8FAAAAAA==&#10;">
                <v:fill on="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666666"/>
          <w:spacing w:val="-3"/>
        </w:rPr>
        <w:t>七、财政拨款三公经费支出决算情</w:t>
      </w:r>
      <w:r>
        <w:rPr>
          <w:b/>
          <w:bCs/>
          <w:color w:val="666666"/>
          <w:spacing w:val="-4"/>
        </w:rPr>
        <w:t>况说明</w:t>
      </w:r>
    </w:p>
    <w:p w14:paraId="09250D7E">
      <w:pPr>
        <w:pStyle w:val="2"/>
        <w:spacing w:before="176" w:line="552" w:lineRule="exact"/>
        <w:ind w:firstLine="434"/>
      </w:pPr>
      <w:r>
        <w:rPr>
          <w:position w:val="-11"/>
        </w:rPr>
        <w:pict>
          <v:shape id="_x0000_s1028" o:spid="_x0000_s1028" o:spt="202" type="#_x0000_t202" style="height:27.6pt;width:329.0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D8D275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1"/>
                      <w:sz w:val="28"/>
                      <w:szCs w:val="28"/>
                    </w:rPr>
                    <w:t>（一）“三公”经费财政拨款支出决算总体情况说明</w:t>
                  </w:r>
                </w:p>
              </w:txbxContent>
            </v:textbox>
            <w10:wrap type="none"/>
            <w10:anchorlock/>
          </v:shape>
        </w:pict>
      </w:r>
    </w:p>
    <w:p w14:paraId="040A2894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29" o:spid="_x0000_s1029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A327F8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022 年度“三公”经费财政拨款支出预算为 36.5 万元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，支出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决</w:t>
                  </w:r>
                </w:p>
              </w:txbxContent>
            </v:textbox>
            <w10:wrap type="none"/>
            <w10:anchorlock/>
          </v:shape>
        </w:pict>
      </w:r>
    </w:p>
    <w:p w14:paraId="5688E7D1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30" o:spid="_x0000_s1030" o:spt="202" type="#_x0000_t202" style="height:27.6pt;width:291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469F68">
                  <w:pPr>
                    <w:spacing w:before="132" w:line="226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算为 10.85 万元，完成预算的 29.72%，其中：</w:t>
                  </w:r>
                </w:p>
              </w:txbxContent>
            </v:textbox>
            <w10:wrap type="none"/>
            <w10:anchorlock/>
          </v:shape>
        </w:pict>
      </w:r>
    </w:p>
    <w:p w14:paraId="4E9860FA">
      <w:pPr>
        <w:pStyle w:val="2"/>
        <w:spacing w:before="177" w:line="1176" w:lineRule="exact"/>
        <w:ind w:firstLine="14"/>
      </w:pPr>
      <w:r>
        <w:rPr>
          <w:position w:val="-23"/>
        </w:rPr>
        <w:pict>
          <v:shape id="_x0000_s1031" o:spid="_x0000_s1031" o:spt="202" type="#_x0000_t202" style="height:58.8pt;width:415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499F99">
                  <w:pPr>
                    <w:spacing w:before="135" w:line="282" w:lineRule="auto"/>
                    <w:ind w:left="5" w:firstLine="57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因公出国（境）费支出预算为 0 万元，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>支出决算为 0 万元，由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于预算数为 0，无法计算百分比，决算数和预算数持平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>的主要原因是</w:t>
                  </w:r>
                </w:p>
              </w:txbxContent>
            </v:textbox>
            <w10:wrap type="none"/>
            <w10:anchorlock/>
          </v:shape>
        </w:pict>
      </w:r>
    </w:p>
    <w:p w14:paraId="11DD41C0">
      <w:pPr>
        <w:spacing w:line="1176" w:lineRule="exact"/>
        <w:sectPr>
          <w:pgSz w:w="11906" w:h="16839"/>
          <w:pgMar w:top="400" w:right="1759" w:bottom="0" w:left="1785" w:header="0" w:footer="0" w:gutter="0"/>
          <w:cols w:space="720" w:num="1"/>
        </w:sectPr>
      </w:pPr>
    </w:p>
    <w:p w14:paraId="768E4EA1">
      <w:pPr>
        <w:spacing w:line="258" w:lineRule="auto"/>
        <w:rPr>
          <w:rFonts w:ascii="Arial"/>
          <w:sz w:val="21"/>
        </w:rPr>
      </w:pPr>
    </w:p>
    <w:p w14:paraId="3B860AB8">
      <w:pPr>
        <w:spacing w:line="258" w:lineRule="auto"/>
        <w:rPr>
          <w:rFonts w:ascii="Arial"/>
          <w:sz w:val="21"/>
        </w:rPr>
      </w:pPr>
    </w:p>
    <w:p w14:paraId="5FE21E26">
      <w:pPr>
        <w:spacing w:line="258" w:lineRule="auto"/>
        <w:rPr>
          <w:rFonts w:ascii="Arial"/>
          <w:sz w:val="21"/>
        </w:rPr>
      </w:pPr>
    </w:p>
    <w:p w14:paraId="33BF53B7">
      <w:pPr>
        <w:spacing w:line="259" w:lineRule="auto"/>
        <w:rPr>
          <w:rFonts w:ascii="Arial"/>
          <w:sz w:val="21"/>
        </w:rPr>
      </w:pPr>
    </w:p>
    <w:p w14:paraId="02AD9D29">
      <w:pPr>
        <w:pStyle w:val="2"/>
        <w:spacing w:line="552" w:lineRule="exact"/>
        <w:ind w:firstLine="14"/>
      </w:pPr>
      <w:r>
        <w:rPr>
          <w:position w:val="-11"/>
        </w:rPr>
        <w:pict>
          <v:shape id="_x0000_s1032" o:spid="_x0000_s1032" o:spt="202" type="#_x0000_t202" style="height:27.6pt;width:415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DF6A35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3"/>
                      <w:sz w:val="28"/>
                      <w:szCs w:val="28"/>
                    </w:rPr>
                    <w:t>无因公出国（境）费用支出，与上年相比持平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，主要原因是无因公出</w:t>
                  </w:r>
                </w:p>
              </w:txbxContent>
            </v:textbox>
            <w10:wrap type="none"/>
            <w10:anchorlock/>
          </v:shape>
        </w:pict>
      </w:r>
    </w:p>
    <w:p w14:paraId="1026C3B2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33" o:spid="_x0000_s1033" o:spt="202" type="#_x0000_t202" style="height:27.6pt;width:126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D1B247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9"/>
                      <w:sz w:val="28"/>
                      <w:szCs w:val="28"/>
                    </w:rPr>
                    <w:t>国（境）费用支出。</w:t>
                  </w:r>
                </w:p>
              </w:txbxContent>
            </v:textbox>
            <w10:wrap type="none"/>
            <w10:anchorlock/>
          </v:shape>
        </w:pict>
      </w:r>
    </w:p>
    <w:p w14:paraId="02868C73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34" o:spid="_x0000_s1034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5119DB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公务接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待费支出预算为 14.5 万元，支出决算为 7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.22 万元，完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成</w:t>
                  </w:r>
                </w:p>
              </w:txbxContent>
            </v:textbox>
            <w10:wrap type="none"/>
            <w10:anchorlock/>
          </v:shape>
        </w:pict>
      </w:r>
    </w:p>
    <w:p w14:paraId="3738C91F">
      <w:pPr>
        <w:pStyle w:val="2"/>
        <w:spacing w:before="71" w:line="553" w:lineRule="exact"/>
        <w:ind w:firstLine="14"/>
      </w:pPr>
      <w:r>
        <w:rPr>
          <w:position w:val="-11"/>
        </w:rPr>
        <w:pict>
          <v:shape id="_x0000_s1035" o:spid="_x0000_s1035" o:spt="202" type="#_x0000_t202" style="height:27.65pt;width:415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C50892">
                  <w:pPr>
                    <w:spacing w:before="133" w:line="225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预算的 49.79%，决算数小于预算数主要原因是严格执行中央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八项规</w:t>
                  </w:r>
                </w:p>
              </w:txbxContent>
            </v:textbox>
            <w10:wrap type="none"/>
            <w10:anchorlock/>
          </v:shape>
        </w:pict>
      </w:r>
    </w:p>
    <w:p w14:paraId="54CE68E8">
      <w:pPr>
        <w:pStyle w:val="2"/>
        <w:spacing w:before="71" w:line="553" w:lineRule="exact"/>
        <w:ind w:firstLine="14"/>
      </w:pPr>
      <w:r>
        <w:rPr>
          <w:position w:val="-11"/>
        </w:rPr>
        <w:pict>
          <v:shape id="_x0000_s1036" o:spid="_x0000_s1036" o:spt="202" type="#_x0000_t202" style="height:27.65pt;width:411.6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67678C5">
                  <w:pPr>
                    <w:spacing w:before="133" w:line="226" w:lineRule="auto"/>
                    <w:jc w:val="right"/>
                    <w:rPr>
                      <w:rFonts w:hint="default" w:ascii="微软雅黑" w:hAnsi="微软雅黑" w:eastAsia="微软雅黑" w:cs="微软雅黑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定，严格控制支出，与上年相比增加 7.22 万元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  <w:lang w:val="en-US" w:eastAsia="zh-CN"/>
                    </w:rPr>
                    <w:t>因分母为0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，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  <w:lang w:val="en-US" w:eastAsia="zh-CN"/>
                    </w:rPr>
                    <w:t>无法</w:t>
                  </w:r>
                </w:p>
              </w:txbxContent>
            </v:textbox>
            <w10:wrap type="none"/>
            <w10:anchorlock/>
          </v:shape>
        </w:pict>
      </w:r>
    </w:p>
    <w:p w14:paraId="711AF11B">
      <w:pPr>
        <w:pStyle w:val="2"/>
        <w:spacing w:before="71" w:line="552" w:lineRule="exact"/>
        <w:ind w:firstLine="14"/>
        <w:rPr>
          <w:rFonts w:hint="eastAsia" w:eastAsia="微软雅黑"/>
          <w:lang w:eastAsia="zh-CN"/>
        </w:rPr>
      </w:pPr>
      <w:r>
        <w:rPr>
          <w:position w:val="-11"/>
        </w:rPr>
        <w:pict>
          <v:shape id="_x0000_s1037" o:spid="_x0000_s1037" o:spt="202" type="#_x0000_t202" style="height:27.6pt;width:291.8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51DC23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  <w:lang w:val="en-US" w:eastAsia="zh-CN"/>
                    </w:rPr>
                    <w:t>计算增减比例，主要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是因为 2021 年度科目调整无公务接待费支出。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微软雅黑" w:hAnsi="微软雅黑" w:eastAsia="微软雅黑" w:cs="微软雅黑"/>
          <w:color w:val="666666"/>
          <w:spacing w:val="-1"/>
          <w:sz w:val="28"/>
          <w:szCs w:val="28"/>
        </w:rPr>
        <w:t>。</w:t>
      </w:r>
    </w:p>
    <w:p w14:paraId="3789440A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38" o:spid="_x0000_s1038" o:spt="202" type="#_x0000_t202" style="height:27.65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7119F7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公务用车购置费及运行维护费支出预算为 22 万元，支出决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算为</w:t>
                  </w:r>
                </w:p>
              </w:txbxContent>
            </v:textbox>
            <w10:wrap type="none"/>
            <w10:anchorlock/>
          </v:shape>
        </w:pict>
      </w:r>
    </w:p>
    <w:p w14:paraId="1A3515C1">
      <w:pPr>
        <w:pStyle w:val="2"/>
        <w:spacing w:before="71" w:line="552" w:lineRule="exact"/>
        <w:ind w:firstLine="14"/>
      </w:pPr>
      <w:r>
        <w:rPr>
          <w:position w:val="-11"/>
        </w:rPr>
        <w:pict>
          <v:shape id="_x0000_s1039" o:spid="_x0000_s1039" o:spt="202" type="#_x0000_t202" style="height:27.6pt;width:411.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5A2217">
                  <w:pPr>
                    <w:spacing w:before="133" w:line="225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3.63 万元，完成预算的 16.5%，决算数小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于预算数的主要原因是对</w:t>
                  </w:r>
                </w:p>
              </w:txbxContent>
            </v:textbox>
            <w10:wrap type="none"/>
            <w10:anchorlock/>
          </v:shape>
        </w:pict>
      </w:r>
    </w:p>
    <w:p w14:paraId="6D8360B8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40" o:spid="_x0000_s1040" o:spt="202" type="#_x0000_t202" style="height:27.65pt;width:415.3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30561F">
                  <w:pPr>
                    <w:spacing w:before="184" w:line="184" w:lineRule="auto"/>
                    <w:ind w:left="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车辆维修、加油、保险严格管理，与上年相比增加 0.04 万元，增加</w:t>
                  </w:r>
                </w:p>
              </w:txbxContent>
            </v:textbox>
            <w10:wrap type="none"/>
            <w10:anchorlock/>
          </v:shape>
        </w:pict>
      </w:r>
    </w:p>
    <w:p w14:paraId="46E5A85D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41" o:spid="_x0000_s1041" o:spt="202" type="#_x0000_t202" style="height:27.65pt;width:337.8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AE7892">
                  <w:pPr>
                    <w:spacing w:before="133" w:line="226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1.11%,增加的主要原因是车辆维修、加油等开支增加。</w:t>
                  </w:r>
                </w:p>
              </w:txbxContent>
            </v:textbox>
            <w10:wrap type="none"/>
            <w10:anchorlock/>
          </v:shape>
        </w:pict>
      </w:r>
    </w:p>
    <w:p w14:paraId="570B0442">
      <w:pPr>
        <w:pStyle w:val="2"/>
        <w:spacing w:before="177" w:line="552" w:lineRule="exact"/>
        <w:ind w:firstLine="434"/>
      </w:pPr>
      <w:r>
        <w:rPr>
          <w:position w:val="-11"/>
        </w:rPr>
        <w:pict>
          <v:shape id="_x0000_s1042" o:spid="_x0000_s1042" o:spt="202" type="#_x0000_t202" style="height:27.65pt;width:322.1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6E0F14">
                  <w:pPr>
                    <w:spacing w:before="132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（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3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二）“三公”经费财政拨款支出决算具体情况说明</w:t>
                  </w:r>
                </w:p>
              </w:txbxContent>
            </v:textbox>
            <w10:wrap type="none"/>
            <w10:anchorlock/>
          </v:shape>
        </w:pict>
      </w:r>
    </w:p>
    <w:p w14:paraId="3752208E">
      <w:pPr>
        <w:pStyle w:val="2"/>
        <w:spacing w:before="177" w:line="552" w:lineRule="exact"/>
        <w:ind w:firstLine="574"/>
        <w:rPr>
          <w:color w:val="666666"/>
          <w:spacing w:val="-2"/>
        </w:rPr>
      </w:pPr>
      <w:r>
        <w:rPr>
          <w:position w:val="-11"/>
        </w:rPr>
        <w:pict>
          <v:shape id="_x0000_s1043" o:spid="_x0000_s1043" o:spt="202" type="#_x0000_t202" style="height:27.65pt;width:386.4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98CEEC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"/>
                      <w:sz w:val="28"/>
                      <w:szCs w:val="28"/>
                    </w:rPr>
                    <w:t>2022 年度“三公”经费财政拨款支出决算中，公务接待费支出</w:t>
                  </w:r>
                </w:p>
              </w:txbxContent>
            </v:textbox>
            <w10:wrap type="none"/>
            <w10:anchorlock/>
          </v:shape>
        </w:pict>
      </w:r>
      <w:r>
        <w:rPr>
          <w:color w:val="666666"/>
          <w:spacing w:val="-2"/>
        </w:rPr>
        <w:t>决算 7.22 万元， 占 66.54%,因公出国（境）费支出决算 0 万元， 占 0%,公务用车购置费及运行维护费支出决算 3.63 万元， 占 33.46%。</w:t>
      </w:r>
    </w:p>
    <w:p w14:paraId="726C857D">
      <w:pPr>
        <w:rPr>
          <w:rFonts w:hint="eastAsia" w:ascii="微软雅黑" w:hAnsi="微软雅黑" w:eastAsia="微软雅黑" w:cs="微软雅黑"/>
          <w:snapToGrid w:val="0"/>
          <w:color w:val="666666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666666"/>
          <w:spacing w:val="-2"/>
          <w:kern w:val="0"/>
          <w:sz w:val="28"/>
          <w:szCs w:val="28"/>
          <w:lang w:val="en-US" w:eastAsia="zh-CN" w:bidi="ar-SA"/>
        </w:rPr>
        <w:t>其中：</w:t>
      </w:r>
    </w:p>
    <w:p w14:paraId="1561F2B8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45" o:spid="_x0000_s1045" o:spt="202" type="#_x0000_t202" style="height:27.6pt;width:388.6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AC5B42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18"/>
                      <w:sz w:val="28"/>
                      <w:szCs w:val="28"/>
                    </w:rPr>
                    <w:t>1、因公出国（境）费支出决算为 0 万元，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19"/>
                      <w:sz w:val="28"/>
                      <w:szCs w:val="28"/>
                    </w:rPr>
                    <w:t>全年安排因公出国（境）</w:t>
                  </w:r>
                </w:p>
              </w:txbxContent>
            </v:textbox>
            <w10:wrap type="none"/>
            <w10:anchorlock/>
          </v:shape>
        </w:pict>
      </w:r>
    </w:p>
    <w:p w14:paraId="234BED73">
      <w:pPr>
        <w:pStyle w:val="2"/>
        <w:spacing w:before="72" w:line="552" w:lineRule="exact"/>
        <w:ind w:firstLine="14"/>
        <w:rPr>
          <w:rFonts w:hint="eastAsia" w:eastAsia="微软雅黑"/>
          <w:lang w:eastAsia="zh-CN"/>
        </w:rPr>
      </w:pPr>
      <w:r>
        <w:rPr>
          <w:position w:val="-11"/>
        </w:rPr>
        <w:pict>
          <v:shape id="_x0000_s1046" o:spid="_x0000_s1046" o:spt="202" type="#_x0000_t202" style="height:27.6pt;width:327.7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548F59">
                  <w:pPr>
                    <w:spacing w:before="133" w:line="221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团组 0 个，累计 0 人次</w:t>
                  </w:r>
                  <w:r>
                    <w:rPr>
                      <w:rFonts w:hint="eastAsia"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全年无因公出国（境）费用。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微软雅黑" w:hAnsi="微软雅黑" w:eastAsia="微软雅黑" w:cs="微软雅黑"/>
          <w:color w:val="666666"/>
          <w:spacing w:val="-20"/>
          <w:w w:val="97"/>
          <w:sz w:val="28"/>
          <w:szCs w:val="28"/>
        </w:rPr>
        <w:t>。</w:t>
      </w:r>
    </w:p>
    <w:p w14:paraId="3CB3AE8F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47" o:spid="_x0000_s1047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B46E7B">
                  <w:pPr>
                    <w:spacing w:before="184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4"/>
                      <w:sz w:val="28"/>
                      <w:szCs w:val="28"/>
                    </w:rPr>
                    <w:t>2、公务接待费支出决算为 7.22 万元，全年共接待来宾 1825 人</w:t>
                  </w:r>
                </w:p>
              </w:txbxContent>
            </v:textbox>
            <w10:wrap type="none"/>
            <w10:anchorlock/>
          </v:shape>
        </w:pict>
      </w:r>
    </w:p>
    <w:p w14:paraId="2D4A560B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48" o:spid="_x0000_s1048" o:spt="202" type="#_x0000_t202" style="height:27.6pt;width:28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A6B0BA">
                  <w:pPr>
                    <w:spacing w:before="188" w:line="182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0"/>
                      <w:w w:val="97"/>
                      <w:sz w:val="28"/>
                      <w:szCs w:val="28"/>
                    </w:rPr>
                    <w:t>次。</w:t>
                  </w:r>
                </w:p>
              </w:txbxContent>
            </v:textbox>
            <w10:wrap type="none"/>
            <w10:anchorlock/>
          </v:shape>
        </w:pict>
      </w:r>
    </w:p>
    <w:p w14:paraId="27B50495">
      <w:pPr>
        <w:pStyle w:val="2"/>
        <w:spacing w:before="177" w:line="552" w:lineRule="exact"/>
        <w:ind w:firstLine="574"/>
      </w:pPr>
      <w:r>
        <w:rPr>
          <w:position w:val="-11"/>
        </w:rPr>
        <w:pict>
          <v:shape id="_x0000_s1049" o:spid="_x0000_s1049" o:spt="202" type="#_x0000_t202" style="height:27.6pt;width:387.3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1D7D2B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3、公务用车购置费及运行维护费支出决算为 3.63 万元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，其中：</w:t>
                  </w:r>
                </w:p>
              </w:txbxContent>
            </v:textbox>
            <w10:wrap type="none"/>
            <w10:anchorlock/>
          </v:shape>
        </w:pict>
      </w:r>
    </w:p>
    <w:p w14:paraId="5750EF99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50" o:spid="_x0000_s1050" o:spt="202" type="#_x0000_t202" style="height:27.6pt;width:408.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91F1C0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公务用车购置费 0 万元，更新公务用车 0 辆。公务用车运行维护费</w:t>
                  </w:r>
                </w:p>
              </w:txbxContent>
            </v:textbox>
            <w10:wrap type="none"/>
            <w10:anchorlock/>
          </v:shape>
        </w:pict>
      </w:r>
    </w:p>
    <w:p w14:paraId="0A808C82">
      <w:pPr>
        <w:spacing w:line="552" w:lineRule="exact"/>
        <w:sectPr>
          <w:pgSz w:w="11906" w:h="16839"/>
          <w:pgMar w:top="400" w:right="1633" w:bottom="0" w:left="1785" w:header="0" w:footer="0" w:gutter="0"/>
          <w:cols w:space="720" w:num="1"/>
        </w:sectPr>
      </w:pPr>
    </w:p>
    <w:p w14:paraId="0FB3528A">
      <w:pPr>
        <w:spacing w:line="258" w:lineRule="auto"/>
        <w:rPr>
          <w:rFonts w:ascii="Arial"/>
          <w:sz w:val="21"/>
        </w:rPr>
      </w:pPr>
    </w:p>
    <w:p w14:paraId="040481F0">
      <w:pPr>
        <w:spacing w:line="258" w:lineRule="auto"/>
        <w:rPr>
          <w:rFonts w:ascii="Arial"/>
          <w:sz w:val="21"/>
        </w:rPr>
      </w:pPr>
    </w:p>
    <w:p w14:paraId="35B25FAD">
      <w:pPr>
        <w:spacing w:line="258" w:lineRule="auto"/>
        <w:rPr>
          <w:rFonts w:ascii="Arial"/>
          <w:sz w:val="21"/>
        </w:rPr>
      </w:pPr>
    </w:p>
    <w:p w14:paraId="5FA96F1E">
      <w:pPr>
        <w:spacing w:line="259" w:lineRule="auto"/>
        <w:rPr>
          <w:rFonts w:ascii="Arial"/>
          <w:sz w:val="21"/>
        </w:rPr>
      </w:pPr>
    </w:p>
    <w:p w14:paraId="34CAED33">
      <w:pPr>
        <w:pStyle w:val="2"/>
        <w:spacing w:line="552" w:lineRule="exact"/>
        <w:ind w:firstLine="14"/>
      </w:pPr>
      <w:r>
        <w:rPr>
          <w:position w:val="-11"/>
        </w:rPr>
        <w:pict>
          <v:shape id="_x0000_s1051" o:spid="_x0000_s1051" o:spt="202" type="#_x0000_t202" style="height:27.6pt;width:415.3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F9D8F4">
                  <w:pPr>
                    <w:spacing w:before="183" w:line="184" w:lineRule="auto"/>
                    <w:ind w:left="1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2"/>
                      <w:sz w:val="28"/>
                      <w:szCs w:val="28"/>
                    </w:rPr>
                    <w:t>3.63 万元，主要是车辆维修、加油、保险等支出，截止 2022 年 12</w:t>
                  </w:r>
                </w:p>
              </w:txbxContent>
            </v:textbox>
            <w10:wrap type="none"/>
            <w10:anchorlock/>
          </v:shape>
        </w:pict>
      </w:r>
    </w:p>
    <w:p w14:paraId="3F94BBB4">
      <w:pPr>
        <w:pStyle w:val="2"/>
        <w:spacing w:before="72" w:line="552" w:lineRule="exact"/>
        <w:ind w:firstLine="14"/>
      </w:pPr>
      <w:r>
        <w:rPr>
          <w:position w:val="-11"/>
        </w:rPr>
        <w:pict>
          <v:shape id="_x0000_s1052" o:spid="_x0000_s1052" o:spt="202" type="#_x0000_t202" style="height:27.6pt;width:360.65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359F76A">
                  <w:pPr>
                    <w:spacing w:before="183" w:line="184" w:lineRule="auto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月 31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3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日，我单位开支财政拨款的公务用车保有量为 1 辆。</w:t>
                  </w:r>
                </w:p>
              </w:txbxContent>
            </v:textbox>
            <w10:wrap type="none"/>
            <w10:anchorlock/>
          </v:shape>
        </w:pict>
      </w:r>
    </w:p>
    <w:p w14:paraId="15B64BBA">
      <w:pPr>
        <w:rPr>
          <w:rFonts w:ascii="Arial"/>
          <w:sz w:val="21"/>
        </w:rPr>
      </w:pPr>
    </w:p>
    <w:p w14:paraId="3474592B">
      <w:pPr>
        <w:pStyle w:val="2"/>
        <w:spacing w:before="120" w:line="184" w:lineRule="auto"/>
        <w:ind w:left="574"/>
        <w:outlineLvl w:val="1"/>
      </w:pPr>
      <w:r>
        <w:rPr>
          <w:b/>
          <w:bCs/>
          <w:color w:val="666666"/>
          <w:spacing w:val="-3"/>
        </w:rPr>
        <w:t>八、政府性基金预算收入支出决算情况</w:t>
      </w:r>
    </w:p>
    <w:p w14:paraId="7001D448">
      <w:pPr>
        <w:pStyle w:val="2"/>
        <w:spacing w:before="357" w:line="312" w:lineRule="auto"/>
        <w:ind w:left="16" w:right="119" w:firstLine="571"/>
        <w:jc w:val="both"/>
      </w:pPr>
      <w:r>
        <w:rPr>
          <w:color w:val="666666"/>
          <w:spacing w:val="-2"/>
        </w:rPr>
        <w:t>2022 年度政府性基金预算财政拨款收入 796.87 万元；年初结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2"/>
        </w:rPr>
        <w:t>转和结余 0 万元；支出 796.87 万元，其中基本支出 551.87 万元，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2"/>
        </w:rPr>
        <w:t xml:space="preserve">项目支出 245 万元；年末结转和结余 </w:t>
      </w:r>
      <w:r>
        <w:rPr>
          <w:color w:val="666666"/>
          <w:spacing w:val="-3"/>
        </w:rPr>
        <w:t>0 万元。</w:t>
      </w:r>
    </w:p>
    <w:p w14:paraId="1A5D8F19">
      <w:pPr>
        <w:pStyle w:val="2"/>
        <w:spacing w:before="105" w:line="185" w:lineRule="auto"/>
        <w:ind w:left="577"/>
        <w:outlineLvl w:val="1"/>
      </w:pPr>
      <w:r>
        <w:rPr>
          <w:b/>
          <w:bCs/>
          <w:color w:val="666666"/>
          <w:spacing w:val="-4"/>
        </w:rPr>
        <w:t>九、关于机关运行经费支出说明</w:t>
      </w:r>
    </w:p>
    <w:p w14:paraId="709BBBEE">
      <w:pPr>
        <w:pStyle w:val="2"/>
        <w:spacing w:before="358" w:line="317" w:lineRule="auto"/>
        <w:ind w:left="15" w:right="31" w:firstLine="562"/>
        <w:rPr>
          <w:rFonts w:hint="default" w:eastAsia="微软雅黑"/>
          <w:lang w:val="en-US" w:eastAsia="zh-CN"/>
        </w:rPr>
      </w:pPr>
      <w:r>
        <w:rPr>
          <w:color w:val="666666"/>
          <w:spacing w:val="-2"/>
        </w:rPr>
        <w:t>本部门 2022 年度机关运行经费支出 10621.</w:t>
      </w:r>
      <w:r>
        <w:rPr>
          <w:color w:val="666666"/>
          <w:spacing w:val="-2"/>
          <w:highlight w:val="none"/>
        </w:rPr>
        <w:t>78 万元，比</w:t>
      </w:r>
      <w:r>
        <w:rPr>
          <w:rFonts w:hint="eastAsia"/>
          <w:color w:val="666666"/>
          <w:spacing w:val="-2"/>
          <w:highlight w:val="none"/>
          <w:lang w:val="en-US" w:eastAsia="zh-CN"/>
        </w:rPr>
        <w:t>年初预算数</w:t>
      </w:r>
      <w:r>
        <w:rPr>
          <w:color w:val="666666"/>
          <w:spacing w:val="-2"/>
          <w:highlight w:val="none"/>
        </w:rPr>
        <w:t>增加</w:t>
      </w:r>
      <w:r>
        <w:rPr>
          <w:rFonts w:hint="eastAsia"/>
          <w:color w:val="666666"/>
          <w:spacing w:val="-2"/>
          <w:highlight w:val="none"/>
          <w:lang w:val="en-US" w:eastAsia="zh-CN"/>
        </w:rPr>
        <w:t>10105.45</w:t>
      </w:r>
      <w:r>
        <w:rPr>
          <w:color w:val="666666"/>
          <w:spacing w:val="-2"/>
          <w:highlight w:val="none"/>
        </w:rPr>
        <w:t>万元，增加</w:t>
      </w:r>
      <w:r>
        <w:rPr>
          <w:rFonts w:hint="eastAsia"/>
          <w:color w:val="666666"/>
          <w:spacing w:val="-2"/>
          <w:highlight w:val="none"/>
          <w:lang w:val="en-US" w:eastAsia="zh-CN"/>
        </w:rPr>
        <w:t>1957.17</w:t>
      </w:r>
      <w:r>
        <w:rPr>
          <w:color w:val="666666"/>
          <w:spacing w:val="-2"/>
          <w:highlight w:val="none"/>
        </w:rPr>
        <w:t>%，主要</w:t>
      </w:r>
      <w:r>
        <w:rPr>
          <w:color w:val="666666"/>
          <w:spacing w:val="-2"/>
        </w:rPr>
        <w:t>原因是</w:t>
      </w:r>
      <w:r>
        <w:rPr>
          <w:rFonts w:hint="eastAsia"/>
          <w:color w:val="666666"/>
          <w:spacing w:val="-2"/>
          <w:lang w:val="en-US" w:eastAsia="zh-CN"/>
        </w:rPr>
        <w:t>年初预算数仅限于本级，决算数包括全市各医院的办公设备购置、专用设备购置等各项日常运转支出。</w:t>
      </w:r>
    </w:p>
    <w:p w14:paraId="798FDB84">
      <w:pPr>
        <w:pStyle w:val="2"/>
        <w:spacing w:before="85" w:line="185" w:lineRule="auto"/>
        <w:ind w:left="580"/>
        <w:outlineLvl w:val="1"/>
        <w:rPr>
          <w:rFonts w:ascii="Arial"/>
          <w:sz w:val="21"/>
        </w:rPr>
      </w:pPr>
      <w:r>
        <w:rPr>
          <w:b/>
          <w:bCs/>
          <w:color w:val="666666"/>
          <w:spacing w:val="-4"/>
        </w:rPr>
        <w:t>十、一般性支出情况说明</w:t>
      </w:r>
    </w:p>
    <w:p w14:paraId="1FB0C4DC">
      <w:pPr>
        <w:pStyle w:val="2"/>
        <w:spacing w:before="361" w:line="311" w:lineRule="auto"/>
        <w:ind w:left="17" w:firstLine="560"/>
        <w:jc w:val="both"/>
        <w:rPr>
          <w:color w:val="666666"/>
          <w:spacing w:val="-2"/>
        </w:rPr>
      </w:pPr>
      <w:r>
        <w:rPr>
          <w:color w:val="666666"/>
          <w:spacing w:val="-2"/>
        </w:rPr>
        <w:t>2022 年本部门开支会议费 5.4 万元，用于召开 36 次会议，人  数 1428 人，内容为卫生健康工作会、疫情防控工作会、推进会等会 议；开支培训费 13.67 万元，用于卫生系统举办的 22 场次培训，人 数 4639 人，内容为疫情防控和卫生健康高质量发展而举办的各种培 训；举办 0 场节庆、晚会、论坛、赛事活动，开支 0 万元，主要是  年初没有预算，也没有举办经费。</w:t>
      </w:r>
    </w:p>
    <w:p w14:paraId="43B14739">
      <w:pPr>
        <w:pStyle w:val="2"/>
        <w:spacing w:before="108" w:line="185" w:lineRule="auto"/>
        <w:ind w:left="580"/>
        <w:outlineLvl w:val="1"/>
      </w:pPr>
      <w:r>
        <w:rPr>
          <w:b/>
          <w:bCs/>
          <w:color w:val="666666"/>
          <w:spacing w:val="-4"/>
        </w:rPr>
        <w:t>十一、关于政府采购支出说明</w:t>
      </w:r>
    </w:p>
    <w:p w14:paraId="4FCD3A6E">
      <w:pPr>
        <w:pStyle w:val="2"/>
        <w:spacing w:before="361" w:line="311" w:lineRule="auto"/>
        <w:ind w:left="17" w:firstLine="560"/>
        <w:jc w:val="both"/>
      </w:pPr>
      <w:r>
        <w:rPr>
          <w:color w:val="666666"/>
          <w:spacing w:val="-2"/>
        </w:rPr>
        <w:t>本部门 2022 年度政府采购支出总额 4486.102 万元，其中：政</w:t>
      </w:r>
      <w:r>
        <w:rPr>
          <w:color w:val="666666"/>
          <w:spacing w:val="4"/>
        </w:rPr>
        <w:t xml:space="preserve">  </w:t>
      </w:r>
      <w:r>
        <w:rPr>
          <w:color w:val="666666"/>
          <w:spacing w:val="-3"/>
        </w:rPr>
        <w:t>府采购货物支出 1204.292 万元、政府采购工程支出 3281.81 万元、</w:t>
      </w:r>
      <w:r>
        <w:rPr>
          <w:color w:val="666666"/>
          <w:spacing w:val="7"/>
        </w:rPr>
        <w:t xml:space="preserve"> </w:t>
      </w:r>
      <w:r>
        <w:rPr>
          <w:color w:val="666666"/>
          <w:spacing w:val="-3"/>
        </w:rPr>
        <w:t>政府采购服务支出 0 万元。授予中小企业合同金额 0 万元，</w:t>
      </w:r>
      <w:r>
        <w:rPr>
          <w:color w:val="666666"/>
          <w:spacing w:val="-40"/>
        </w:rPr>
        <w:t xml:space="preserve"> </w:t>
      </w:r>
      <w:r>
        <w:rPr>
          <w:color w:val="666666"/>
          <w:spacing w:val="-3"/>
        </w:rPr>
        <w:t>占政府</w:t>
      </w:r>
    </w:p>
    <w:p w14:paraId="556DCDC0">
      <w:pPr>
        <w:spacing w:line="311" w:lineRule="auto"/>
        <w:sectPr>
          <w:pgSz w:w="11906" w:h="16839"/>
          <w:pgMar w:top="400" w:right="1733" w:bottom="0" w:left="1785" w:header="0" w:footer="0" w:gutter="0"/>
          <w:cols w:space="720" w:num="1"/>
        </w:sectPr>
      </w:pPr>
    </w:p>
    <w:p w14:paraId="2C9F55C5">
      <w:pPr>
        <w:spacing w:line="261" w:lineRule="auto"/>
        <w:rPr>
          <w:rFonts w:ascii="Arial"/>
          <w:sz w:val="21"/>
        </w:rPr>
      </w:pPr>
    </w:p>
    <w:p w14:paraId="0A61EA16">
      <w:pPr>
        <w:spacing w:line="261" w:lineRule="auto"/>
        <w:rPr>
          <w:rFonts w:ascii="Arial"/>
          <w:sz w:val="21"/>
        </w:rPr>
      </w:pPr>
    </w:p>
    <w:p w14:paraId="66C77413">
      <w:pPr>
        <w:spacing w:line="261" w:lineRule="auto"/>
        <w:rPr>
          <w:rFonts w:ascii="Arial"/>
          <w:sz w:val="21"/>
        </w:rPr>
      </w:pPr>
    </w:p>
    <w:p w14:paraId="2C675482">
      <w:pPr>
        <w:spacing w:line="261" w:lineRule="auto"/>
        <w:rPr>
          <w:rFonts w:ascii="Arial"/>
          <w:sz w:val="21"/>
        </w:rPr>
      </w:pPr>
    </w:p>
    <w:p w14:paraId="206990D0">
      <w:pPr>
        <w:pStyle w:val="2"/>
        <w:spacing w:before="120" w:line="304" w:lineRule="auto"/>
        <w:ind w:left="30" w:right="153"/>
      </w:pPr>
      <w:r>
        <w:rPr>
          <w:color w:val="666666"/>
          <w:spacing w:val="-3"/>
        </w:rPr>
        <w:t>采购支出总额的 0%，其中：授予小微企业合同金额 0 万元，占政府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2"/>
        </w:rPr>
        <w:t>采购支出总额的 0%。</w:t>
      </w:r>
    </w:p>
    <w:p w14:paraId="336EFD84">
      <w:pPr>
        <w:pStyle w:val="2"/>
        <w:spacing w:before="190" w:line="184" w:lineRule="auto"/>
        <w:ind w:left="593"/>
        <w:outlineLvl w:val="1"/>
      </w:pPr>
      <w:r>
        <w:rPr>
          <w:b/>
          <w:bCs/>
          <w:color w:val="666666"/>
          <w:spacing w:val="-4"/>
        </w:rPr>
        <w:t>十二、关于国有资产占用情况说明</w:t>
      </w:r>
    </w:p>
    <w:p w14:paraId="70723EB9">
      <w:pPr>
        <w:spacing w:line="242" w:lineRule="auto"/>
        <w:rPr>
          <w:rFonts w:ascii="Arial"/>
          <w:sz w:val="21"/>
        </w:rPr>
      </w:pPr>
    </w:p>
    <w:p w14:paraId="5C30D977">
      <w:pPr>
        <w:pStyle w:val="2"/>
        <w:spacing w:before="120" w:line="314" w:lineRule="auto"/>
        <w:ind w:right="153" w:firstLine="588"/>
        <w:jc w:val="both"/>
      </w:pPr>
      <w:r>
        <w:rPr>
          <w:color w:val="666666"/>
          <w:spacing w:val="-4"/>
        </w:rPr>
        <w:t>截至 2022 年 12 月 31</w:t>
      </w:r>
      <w:r>
        <w:rPr>
          <w:color w:val="666666"/>
          <w:spacing w:val="39"/>
        </w:rPr>
        <w:t xml:space="preserve"> </w:t>
      </w:r>
      <w:r>
        <w:rPr>
          <w:color w:val="666666"/>
          <w:spacing w:val="-4"/>
        </w:rPr>
        <w:t>日，本单位共有车辆 1 辆，其中，领导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干部用车 0 辆、机要通信用车 0 辆、应急保障用车 0 辆、执法执勤</w:t>
      </w:r>
      <w:r>
        <w:rPr>
          <w:color w:val="666666"/>
          <w:spacing w:val="8"/>
        </w:rPr>
        <w:t xml:space="preserve">  </w:t>
      </w:r>
      <w:r>
        <w:rPr>
          <w:color w:val="666666"/>
          <w:spacing w:val="-4"/>
        </w:rPr>
        <w:t>用车 1 辆、特种专业技术用车 0 辆、其他用车 0 辆；单位价值 50 万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元以上通用设备 0 台（套</w:t>
      </w:r>
      <w:r>
        <w:rPr>
          <w:color w:val="666666"/>
          <w:spacing w:val="8"/>
        </w:rPr>
        <w:t>）；</w:t>
      </w:r>
      <w:r>
        <w:rPr>
          <w:color w:val="666666"/>
          <w:spacing w:val="-2"/>
        </w:rPr>
        <w:t>单位价值 100 万元以上专用设备 0 台</w:t>
      </w:r>
      <w:r>
        <w:rPr>
          <w:color w:val="666666"/>
        </w:rPr>
        <w:t xml:space="preserve">  </w:t>
      </w:r>
      <w:r>
        <w:rPr>
          <w:color w:val="666666"/>
          <w:spacing w:val="11"/>
        </w:rPr>
        <w:t>（套）。</w:t>
      </w:r>
    </w:p>
    <w:p w14:paraId="2C649839">
      <w:pPr>
        <w:pStyle w:val="2"/>
        <w:spacing w:before="77" w:line="184" w:lineRule="auto"/>
        <w:ind w:left="593"/>
        <w:outlineLvl w:val="1"/>
      </w:pPr>
      <w:r>
        <w:rPr>
          <w:b/>
          <w:bCs/>
          <w:color w:val="666666"/>
          <w:spacing w:val="-3"/>
        </w:rPr>
        <w:t>十三、关于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2022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年度预算绩效情况的说明</w:t>
      </w:r>
    </w:p>
    <w:p w14:paraId="125EF7BC">
      <w:pPr>
        <w:pStyle w:val="2"/>
        <w:spacing w:before="176" w:line="1176" w:lineRule="exact"/>
        <w:ind w:firstLine="27"/>
      </w:pPr>
      <w:r>
        <w:rPr>
          <w:position w:val="-23"/>
        </w:rPr>
        <w:pict>
          <v:shape id="_x0000_s1053" o:spid="_x0000_s1053" o:spt="202" type="#_x0000_t202" style="height:58.85pt;width:416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79578A">
                  <w:pPr>
                    <w:spacing w:before="183" w:line="270" w:lineRule="auto"/>
                    <w:ind w:left="4" w:firstLine="54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纳入 2022 年部门整体支出绩效目标的金额为 10843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9.11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6"/>
                      <w:sz w:val="28"/>
                      <w:szCs w:val="28"/>
                    </w:rPr>
                    <w:t>万元，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66666"/>
                      <w:spacing w:val="-5"/>
                      <w:sz w:val="28"/>
                      <w:szCs w:val="28"/>
                    </w:rPr>
                    <w:t>其中，基本支出 55772.38 万元，项目支出 52666.73 万元。本年度</w:t>
                  </w:r>
                </w:p>
              </w:txbxContent>
            </v:textbox>
            <w10:wrap type="none"/>
            <w10:anchorlock/>
          </v:shape>
        </w:pict>
      </w:r>
    </w:p>
    <w:p w14:paraId="6F9E4216">
      <w:pPr>
        <w:pStyle w:val="2"/>
        <w:spacing w:before="253" w:line="311" w:lineRule="auto"/>
        <w:ind w:left="31" w:right="153"/>
      </w:pPr>
      <w:r>
        <w:rPr>
          <w:color w:val="666666"/>
          <w:spacing w:val="-1"/>
        </w:rPr>
        <w:t>无重点项目支出。根</w:t>
      </w:r>
      <w:r>
        <w:rPr>
          <w:color w:val="666666"/>
          <w:spacing w:val="-3"/>
        </w:rPr>
        <w:t>据预算绩效管理要求，本单位组织对 2022 年度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一般公共预算项目支出全面开展绩效自评。</w:t>
      </w:r>
    </w:p>
    <w:p w14:paraId="2ECE163F">
      <w:pPr>
        <w:pStyle w:val="2"/>
        <w:spacing w:before="113" w:line="183" w:lineRule="auto"/>
        <w:ind w:left="610"/>
      </w:pPr>
      <w:r>
        <w:rPr>
          <w:color w:val="666666"/>
          <w:spacing w:val="-3"/>
        </w:rPr>
        <w:t>1、项目执行情况</w:t>
      </w:r>
    </w:p>
    <w:p w14:paraId="034C341C">
      <w:pPr>
        <w:pStyle w:val="2"/>
        <w:spacing w:before="361" w:line="311" w:lineRule="auto"/>
        <w:ind w:left="29" w:right="153" w:firstLine="560"/>
      </w:pPr>
      <w:r>
        <w:rPr>
          <w:color w:val="666666"/>
          <w:spacing w:val="-1"/>
        </w:rPr>
        <w:t>基本公共卫生服务专项经费 6572.2 万、基本药物制度补助经费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1318.4 万、计划生育专项经费 1409.59 万、公</w:t>
      </w:r>
      <w:r>
        <w:rPr>
          <w:color w:val="666666"/>
          <w:spacing w:val="-2"/>
        </w:rPr>
        <w:t>立医院综合改革经费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409 万、</w:t>
      </w:r>
      <w:r>
        <w:rPr>
          <w:color w:val="666666"/>
          <w:spacing w:val="-43"/>
        </w:rPr>
        <w:t xml:space="preserve"> </w:t>
      </w:r>
      <w:r>
        <w:rPr>
          <w:color w:val="666666"/>
          <w:spacing w:val="-3"/>
        </w:rPr>
        <w:t>中医药事业传承与发展经费 17.5 万、</w:t>
      </w:r>
      <w:r>
        <w:rPr>
          <w:color w:val="666666"/>
          <w:spacing w:val="-60"/>
        </w:rPr>
        <w:t xml:space="preserve"> </w:t>
      </w:r>
      <w:r>
        <w:rPr>
          <w:color w:val="666666"/>
          <w:spacing w:val="-3"/>
        </w:rPr>
        <w:t>医疗服务与保障能力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提升经费 313.84 万、重大传染病防控经费 233.21 万。</w:t>
      </w:r>
    </w:p>
    <w:p w14:paraId="37C5F508">
      <w:pPr>
        <w:pStyle w:val="2"/>
        <w:spacing w:before="59" w:line="221" w:lineRule="auto"/>
        <w:ind w:left="607"/>
      </w:pPr>
      <w:r>
        <w:rPr>
          <w:color w:val="666666"/>
          <w:spacing w:val="-2"/>
        </w:rPr>
        <w:t>(1)基本公共卫生服务</w:t>
      </w:r>
    </w:p>
    <w:p w14:paraId="055028DC">
      <w:pPr>
        <w:pStyle w:val="2"/>
        <w:spacing w:before="336" w:line="315" w:lineRule="auto"/>
        <w:ind w:left="34" w:right="153" w:firstLine="554"/>
      </w:pPr>
      <w:r>
        <w:rPr>
          <w:color w:val="666666"/>
          <w:spacing w:val="-2"/>
        </w:rPr>
        <w:t>祁阳市常住人口 79.19 万人，共有 19 个乡镇卫生院，3 个社区</w:t>
      </w:r>
      <w:r>
        <w:rPr>
          <w:color w:val="666666"/>
        </w:rPr>
        <w:t xml:space="preserve"> </w:t>
      </w:r>
      <w:r>
        <w:rPr>
          <w:color w:val="666666"/>
          <w:spacing w:val="-4"/>
        </w:rPr>
        <w:t>卫生服务中心承担基本公共卫生服务。各乡镇卫生院（社区卫生服务</w:t>
      </w:r>
    </w:p>
    <w:p w14:paraId="5144AA49">
      <w:pPr>
        <w:spacing w:line="315" w:lineRule="auto"/>
        <w:sectPr>
          <w:pgSz w:w="11906" w:h="16839"/>
          <w:pgMar w:top="400" w:right="1646" w:bottom="0" w:left="1772" w:header="0" w:footer="0" w:gutter="0"/>
          <w:cols w:space="720" w:num="1"/>
        </w:sectPr>
      </w:pPr>
    </w:p>
    <w:p w14:paraId="578823A6">
      <w:pPr>
        <w:spacing w:line="261" w:lineRule="auto"/>
        <w:rPr>
          <w:rFonts w:ascii="Arial"/>
          <w:sz w:val="21"/>
        </w:rPr>
      </w:pPr>
    </w:p>
    <w:p w14:paraId="79B5FC44">
      <w:pPr>
        <w:spacing w:line="261" w:lineRule="auto"/>
        <w:rPr>
          <w:rFonts w:ascii="Arial"/>
          <w:sz w:val="21"/>
        </w:rPr>
      </w:pPr>
    </w:p>
    <w:p w14:paraId="71D3BDFF">
      <w:pPr>
        <w:spacing w:line="262" w:lineRule="auto"/>
        <w:rPr>
          <w:rFonts w:ascii="Arial"/>
          <w:sz w:val="21"/>
        </w:rPr>
      </w:pPr>
    </w:p>
    <w:p w14:paraId="1FC949CA">
      <w:pPr>
        <w:spacing w:line="262" w:lineRule="auto"/>
        <w:rPr>
          <w:rFonts w:ascii="Arial"/>
          <w:sz w:val="21"/>
        </w:rPr>
      </w:pPr>
    </w:p>
    <w:p w14:paraId="1E8AB711">
      <w:pPr>
        <w:pStyle w:val="2"/>
        <w:spacing w:before="120" w:line="300" w:lineRule="auto"/>
        <w:ind w:left="29" w:right="107" w:firstLine="7"/>
      </w:pPr>
      <w:r>
        <w:rPr>
          <w:color w:val="666666"/>
          <w:spacing w:val="-4"/>
        </w:rPr>
        <w:t>中心）及所辖村卫生室（社区卫生服务站）是基本公共卫生服务项目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的实施主体，负责为辖区居民提供基本公共卫生服务。</w:t>
      </w:r>
    </w:p>
    <w:p w14:paraId="6C108E98">
      <w:pPr>
        <w:pStyle w:val="2"/>
        <w:spacing w:before="201" w:line="310" w:lineRule="auto"/>
        <w:ind w:left="16" w:firstLine="558"/>
        <w:jc w:val="both"/>
      </w:pPr>
      <w:r>
        <w:rPr>
          <w:color w:val="666666"/>
        </w:rPr>
        <w:t>项目内容包括：居民健康档案管理，健康教育服务，预防接种，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2"/>
        </w:rPr>
        <w:t>传染病及突发公共卫生事件报告和处理，0-6 儿童健康</w:t>
      </w:r>
      <w:r>
        <w:rPr>
          <w:color w:val="666666"/>
          <w:spacing w:val="-3"/>
        </w:rPr>
        <w:t>管理，孕产妇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健康管理，65 岁以上老年人健康管理，严重精神患者健康管理，卫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1"/>
        </w:rPr>
        <w:t>生监督协管，慢性病管理，肺结核管理，中医药健康管理等 12 类项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目。</w:t>
      </w:r>
    </w:p>
    <w:p w14:paraId="6A62D897">
      <w:pPr>
        <w:pStyle w:val="2"/>
        <w:spacing w:before="126" w:line="307" w:lineRule="auto"/>
        <w:ind w:left="17" w:right="107" w:firstLine="570"/>
      </w:pPr>
      <w:r>
        <w:rPr>
          <w:color w:val="666666"/>
          <w:spacing w:val="-1"/>
        </w:rPr>
        <w:t>2022 年年初，根据基层医疗卫生机构的人均经费补助标准对全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县基本公共卫生服务项目资金进行年度预算，按照季度拨付</w:t>
      </w:r>
      <w:r>
        <w:rPr>
          <w:color w:val="666666"/>
          <w:spacing w:val="-1"/>
        </w:rPr>
        <w:t>下达经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费，年终根据考核结果（定性+定量）及结合常住人口清算下达基本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-1"/>
        </w:rPr>
        <w:t>公共卫生服务资金。2022 年中央下达基本公共卫生服务资金已经全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1"/>
        </w:rPr>
        <w:t>部清算下达。</w:t>
      </w:r>
    </w:p>
    <w:p w14:paraId="12B8BF0B">
      <w:pPr>
        <w:pStyle w:val="2"/>
        <w:spacing w:before="152" w:line="314" w:lineRule="auto"/>
        <w:ind w:left="17" w:right="107" w:firstLine="560"/>
      </w:pPr>
      <w:r>
        <w:rPr>
          <w:color w:val="666666"/>
          <w:spacing w:val="-4"/>
        </w:rPr>
        <w:t>实施目的：通过实施基本公共卫生服务项目，对影响居民健康的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主要卫生问题实施干预，减少主要健康危险因素</w:t>
      </w:r>
      <w:r>
        <w:rPr>
          <w:color w:val="666666"/>
          <w:spacing w:val="-4"/>
        </w:rPr>
        <w:t>，有效预防和控制主</w:t>
      </w:r>
      <w:r>
        <w:rPr>
          <w:color w:val="666666"/>
        </w:rPr>
        <w:t xml:space="preserve"> </w:t>
      </w:r>
      <w:r>
        <w:rPr>
          <w:color w:val="666666"/>
          <w:spacing w:val="6"/>
        </w:rPr>
        <w:t>要传染病及慢性病，使城乡居民逐步享有均等化的公共卫生服务。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2022 年底，通过基本公共卫生服务资金的有效投入，各项服务均能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3"/>
        </w:rPr>
        <w:t>按照序时进度高质量的完成省市要求的绩效目标</w:t>
      </w:r>
      <w:r>
        <w:rPr>
          <w:color w:val="666666"/>
          <w:spacing w:val="-4"/>
        </w:rPr>
        <w:t>任务，我市基本公共</w:t>
      </w:r>
      <w:r>
        <w:rPr>
          <w:color w:val="666666"/>
        </w:rPr>
        <w:t xml:space="preserve"> </w:t>
      </w:r>
      <w:r>
        <w:rPr>
          <w:color w:val="666666"/>
          <w:spacing w:val="27"/>
        </w:rPr>
        <w:t>卫生服务完成情况：适龄儿童国家免疫规划疫苗接种率保持在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1"/>
        </w:rPr>
        <w:t>99.5%；0-6 岁儿童健康管理率 98.37%；0-6 岁儿童眼保健和视力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1"/>
        </w:rPr>
        <w:t>检查覆盖率 96.39%；孕产妇系统管理率 97.08；3 岁</w:t>
      </w:r>
      <w:r>
        <w:rPr>
          <w:color w:val="666666"/>
        </w:rPr>
        <w:t xml:space="preserve">以下儿童系统 </w:t>
      </w:r>
      <w:r>
        <w:rPr>
          <w:color w:val="666666"/>
          <w:spacing w:val="1"/>
        </w:rPr>
        <w:t>管理率 95.79%；老年人中医药健康管理率 75.4</w:t>
      </w:r>
      <w:r>
        <w:rPr>
          <w:color w:val="666666"/>
        </w:rPr>
        <w:t>1%；儿童中医药健</w:t>
      </w:r>
    </w:p>
    <w:p w14:paraId="6DE1BDB6">
      <w:pPr>
        <w:spacing w:line="314" w:lineRule="auto"/>
        <w:sectPr>
          <w:pgSz w:w="11906" w:h="16839"/>
          <w:pgMar w:top="400" w:right="1691" w:bottom="0" w:left="1785" w:header="0" w:footer="0" w:gutter="0"/>
          <w:cols w:space="720" w:num="1"/>
        </w:sectPr>
      </w:pPr>
    </w:p>
    <w:p w14:paraId="17FDCC04">
      <w:pPr>
        <w:spacing w:line="261" w:lineRule="auto"/>
        <w:rPr>
          <w:rFonts w:ascii="Arial"/>
          <w:sz w:val="21"/>
        </w:rPr>
      </w:pPr>
    </w:p>
    <w:p w14:paraId="6212B5C3">
      <w:pPr>
        <w:spacing w:line="262" w:lineRule="auto"/>
        <w:rPr>
          <w:rFonts w:ascii="Arial"/>
          <w:sz w:val="21"/>
        </w:rPr>
      </w:pPr>
    </w:p>
    <w:p w14:paraId="3E73CAD3">
      <w:pPr>
        <w:spacing w:line="262" w:lineRule="auto"/>
        <w:rPr>
          <w:rFonts w:ascii="Arial"/>
          <w:sz w:val="21"/>
        </w:rPr>
      </w:pPr>
    </w:p>
    <w:p w14:paraId="03E599DE">
      <w:pPr>
        <w:spacing w:line="262" w:lineRule="auto"/>
        <w:rPr>
          <w:rFonts w:ascii="Arial"/>
          <w:sz w:val="21"/>
        </w:rPr>
      </w:pPr>
    </w:p>
    <w:p w14:paraId="7DCCFBB4">
      <w:pPr>
        <w:pStyle w:val="2"/>
        <w:spacing w:before="120" w:line="309" w:lineRule="auto"/>
        <w:ind w:left="15" w:right="67" w:firstLine="2"/>
        <w:jc w:val="both"/>
      </w:pPr>
      <w:r>
        <w:rPr>
          <w:color w:val="666666"/>
          <w:spacing w:val="-1"/>
        </w:rPr>
        <w:t>康管理率 88.47%；卫生监督协管各专业每年巡查（访）2 次完成率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-2"/>
        </w:rPr>
        <w:t>100%；居民规范化电子健康档案覆盖率 94.59%；65 岁及以上老年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1"/>
        </w:rPr>
        <w:t>人规范健康管理服务率 74.66%；高血压患者规范管理率 81.67%；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1"/>
        </w:rPr>
        <w:t>糖尿病患者规范管理服务率 80.31%；社区在册居家严重精神障碍患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者健康管理率 96.82%；肺结核患者管理率 100%；传染病和突发公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1"/>
        </w:rPr>
        <w:t>共卫生事件报告率 100%；健康教育已完成规定的年度工作任务。</w:t>
      </w:r>
    </w:p>
    <w:p w14:paraId="376E31C2">
      <w:pPr>
        <w:pStyle w:val="2"/>
        <w:spacing w:before="138" w:line="221" w:lineRule="auto"/>
        <w:ind w:left="594"/>
      </w:pPr>
      <w:r>
        <w:rPr>
          <w:color w:val="666666"/>
          <w:spacing w:val="-2"/>
        </w:rPr>
        <w:t>(2)国家基本药物制度专项补助</w:t>
      </w:r>
    </w:p>
    <w:p w14:paraId="19A1B870">
      <w:pPr>
        <w:pStyle w:val="2"/>
        <w:spacing w:before="291" w:line="313" w:lineRule="auto"/>
        <w:ind w:left="14" w:firstLine="562"/>
      </w:pPr>
      <w:r>
        <w:rPr>
          <w:color w:val="666666"/>
          <w:spacing w:val="-4"/>
        </w:rPr>
        <w:t>基层公立医院和村（社区）卫生室必须做到全部从规定配送企业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3"/>
        </w:rPr>
        <w:t>采购基本药物目录内药品（包括国家基本药物和省增补</w:t>
      </w:r>
      <w:r>
        <w:rPr>
          <w:color w:val="666666"/>
          <w:spacing w:val="-4"/>
        </w:rPr>
        <w:t>基本药物以及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县补充目录</w:t>
      </w:r>
      <w:r>
        <w:rPr>
          <w:color w:val="666666"/>
          <w:spacing w:val="-32"/>
        </w:rPr>
        <w:t>），</w:t>
      </w:r>
      <w:r>
        <w:rPr>
          <w:color w:val="666666"/>
          <w:spacing w:val="-1"/>
        </w:rPr>
        <w:t>严禁采购目录外药品，严禁从非统一配送</w:t>
      </w:r>
      <w:r>
        <w:rPr>
          <w:color w:val="666666"/>
          <w:spacing w:val="-2"/>
        </w:rPr>
        <w:t>企业采购药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品，努力提高基本药物采购率；按照基本药物临床应用指</w:t>
      </w:r>
      <w:r>
        <w:rPr>
          <w:color w:val="666666"/>
          <w:spacing w:val="-4"/>
        </w:rPr>
        <w:t>南、基本药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物处方集和《处方管理办法》的要求，规范合理使用基本</w:t>
      </w:r>
      <w:r>
        <w:rPr>
          <w:color w:val="666666"/>
          <w:spacing w:val="-4"/>
        </w:rPr>
        <w:t>药物，努力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提高基本药物使用率；建立药品采购使用明细台账；实行</w:t>
      </w:r>
      <w:r>
        <w:rPr>
          <w:color w:val="666666"/>
          <w:spacing w:val="-4"/>
        </w:rPr>
        <w:t>药品价格公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示，执行药品零差率销售；各基层公立医院要恢复建立药</w:t>
      </w:r>
      <w:r>
        <w:rPr>
          <w:color w:val="666666"/>
          <w:spacing w:val="-4"/>
        </w:rPr>
        <w:t>库，完善管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理机制，安排专人负责辖区村（社区）卫生室基本药物的</w:t>
      </w:r>
      <w:r>
        <w:rPr>
          <w:color w:val="666666"/>
          <w:spacing w:val="-4"/>
        </w:rPr>
        <w:t>代购、配送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工作，建立村（社区）卫生室基本药物纸质台帐和电子台</w:t>
      </w:r>
      <w:r>
        <w:rPr>
          <w:color w:val="666666"/>
          <w:spacing w:val="-4"/>
        </w:rPr>
        <w:t>账，并制定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本辖区切实可行的基本药物考核办法，完善对村（社区）</w:t>
      </w:r>
      <w:r>
        <w:rPr>
          <w:color w:val="666666"/>
          <w:spacing w:val="-4"/>
        </w:rPr>
        <w:t>卫生室的季</w:t>
      </w:r>
      <w:r>
        <w:rPr>
          <w:color w:val="666666"/>
        </w:rPr>
        <w:t xml:space="preserve">  </w:t>
      </w:r>
      <w:r>
        <w:rPr>
          <w:color w:val="666666"/>
          <w:spacing w:val="-9"/>
        </w:rPr>
        <w:t>考核与年终考核机制。基本药物采购流程及资</w:t>
      </w:r>
      <w:r>
        <w:rPr>
          <w:color w:val="666666"/>
          <w:spacing w:val="-10"/>
        </w:rPr>
        <w:t>金支付：一是办公经费。</w:t>
      </w:r>
      <w:r>
        <w:rPr>
          <w:color w:val="666666"/>
        </w:rPr>
        <w:t xml:space="preserve"> </w:t>
      </w:r>
      <w:r>
        <w:rPr>
          <w:color w:val="666666"/>
          <w:spacing w:val="3"/>
        </w:rPr>
        <w:t>按照各医院职工总数拨付，在岗职工每人每月</w:t>
      </w:r>
      <w:r>
        <w:rPr>
          <w:color w:val="666666"/>
          <w:spacing w:val="2"/>
        </w:rPr>
        <w:t xml:space="preserve"> 200 元；二是零差率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补助。按照各单位从规定配送企业采购的药品总量为基数</w:t>
      </w:r>
      <w:r>
        <w:rPr>
          <w:color w:val="666666"/>
          <w:spacing w:val="-4"/>
        </w:rPr>
        <w:t>，结合药占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比进行补助，药占比在 50%以内的（含 50%</w:t>
      </w:r>
      <w:r>
        <w:rPr>
          <w:color w:val="666666"/>
          <w:spacing w:val="-4"/>
        </w:rPr>
        <w:t>）补助 20%。药占比高</w:t>
      </w:r>
      <w:r>
        <w:rPr>
          <w:color w:val="666666"/>
        </w:rPr>
        <w:t xml:space="preserve">  </w:t>
      </w:r>
      <w:r>
        <w:rPr>
          <w:color w:val="666666"/>
          <w:spacing w:val="3"/>
        </w:rPr>
        <w:t>于 50%的，每高出一个百分点，则补助标</w:t>
      </w:r>
      <w:r>
        <w:rPr>
          <w:color w:val="666666"/>
          <w:spacing w:val="2"/>
        </w:rPr>
        <w:t>准降低一个百分点，但不</w:t>
      </w:r>
    </w:p>
    <w:p w14:paraId="13918DC7">
      <w:pPr>
        <w:spacing w:line="313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3E50AF22">
      <w:pPr>
        <w:spacing w:line="262" w:lineRule="auto"/>
        <w:rPr>
          <w:rFonts w:ascii="Arial"/>
          <w:sz w:val="21"/>
        </w:rPr>
      </w:pPr>
    </w:p>
    <w:p w14:paraId="6750A345">
      <w:pPr>
        <w:spacing w:line="262" w:lineRule="auto"/>
        <w:rPr>
          <w:rFonts w:ascii="Arial"/>
          <w:sz w:val="21"/>
        </w:rPr>
      </w:pPr>
    </w:p>
    <w:p w14:paraId="1B8A1C11">
      <w:pPr>
        <w:spacing w:line="262" w:lineRule="auto"/>
        <w:rPr>
          <w:rFonts w:ascii="Arial"/>
          <w:sz w:val="21"/>
        </w:rPr>
      </w:pPr>
    </w:p>
    <w:p w14:paraId="15CFDE34">
      <w:pPr>
        <w:spacing w:line="262" w:lineRule="auto"/>
        <w:rPr>
          <w:rFonts w:ascii="Arial"/>
          <w:sz w:val="21"/>
        </w:rPr>
      </w:pPr>
    </w:p>
    <w:p w14:paraId="22457CDD">
      <w:pPr>
        <w:pStyle w:val="2"/>
        <w:spacing w:before="121" w:line="312" w:lineRule="auto"/>
        <w:ind w:left="15" w:right="153"/>
        <w:jc w:val="both"/>
      </w:pPr>
      <w:r>
        <w:rPr>
          <w:color w:val="666666"/>
          <w:spacing w:val="2"/>
        </w:rPr>
        <w:t>低于 10%。</w:t>
      </w:r>
      <w:r>
        <w:rPr>
          <w:color w:val="666666"/>
          <w:spacing w:val="-59"/>
        </w:rPr>
        <w:t xml:space="preserve"> </w:t>
      </w:r>
      <w:r>
        <w:rPr>
          <w:color w:val="666666"/>
          <w:spacing w:val="2"/>
        </w:rPr>
        <w:t>国家补助多出部分再依据各基层公立医院实</w:t>
      </w:r>
      <w:r>
        <w:rPr>
          <w:color w:val="666666"/>
          <w:spacing w:val="1"/>
        </w:rPr>
        <w:t>施国家基本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药物制度，结合平常督查情况按照一定比例奖励性增</w:t>
      </w:r>
      <w:r>
        <w:rPr>
          <w:color w:val="666666"/>
          <w:spacing w:val="-4"/>
        </w:rPr>
        <w:t>拨。如国家补助</w:t>
      </w:r>
      <w:r>
        <w:rPr>
          <w:color w:val="666666"/>
        </w:rPr>
        <w:t xml:space="preserve"> </w:t>
      </w:r>
      <w:r>
        <w:rPr>
          <w:color w:val="666666"/>
          <w:spacing w:val="16"/>
        </w:rPr>
        <w:t>金额有缺口，则相应调低补助标准</w:t>
      </w:r>
      <w:r>
        <w:rPr>
          <w:color w:val="666666"/>
          <w:spacing w:val="-36"/>
        </w:rPr>
        <w:t xml:space="preserve"> </w:t>
      </w:r>
      <w:r>
        <w:rPr>
          <w:color w:val="666666"/>
          <w:spacing w:val="16"/>
        </w:rPr>
        <w:t>。</w:t>
      </w:r>
      <w:r>
        <w:rPr>
          <w:color w:val="666666"/>
          <w:spacing w:val="-46"/>
        </w:rPr>
        <w:t xml:space="preserve"> </w:t>
      </w:r>
      <w:r>
        <w:rPr>
          <w:color w:val="666666"/>
          <w:spacing w:val="16"/>
        </w:rPr>
        <w:t>2022 年度总支出基药补助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1318.4 万元。</w:t>
      </w:r>
    </w:p>
    <w:p w14:paraId="1A580411">
      <w:pPr>
        <w:pStyle w:val="2"/>
        <w:spacing w:before="101" w:line="221" w:lineRule="auto"/>
        <w:ind w:left="594"/>
      </w:pPr>
      <w:r>
        <w:rPr>
          <w:color w:val="666666"/>
          <w:spacing w:val="-2"/>
        </w:rPr>
        <w:t>(3)计划生育专项经费</w:t>
      </w:r>
    </w:p>
    <w:p w14:paraId="69F49656">
      <w:pPr>
        <w:pStyle w:val="2"/>
        <w:spacing w:before="285" w:line="322" w:lineRule="auto"/>
        <w:ind w:left="15" w:right="153" w:firstLine="561"/>
        <w:jc w:val="both"/>
      </w:pPr>
      <w:r>
        <w:rPr>
          <w:color w:val="666666"/>
          <w:spacing w:val="-2"/>
        </w:rPr>
        <w:t>独生子女保健费项目根据湘人口发[2011]7 号文件精</w:t>
      </w:r>
      <w:r>
        <w:rPr>
          <w:color w:val="666666"/>
          <w:spacing w:val="-3"/>
        </w:rPr>
        <w:t>神，按照发</w:t>
      </w:r>
      <w:r>
        <w:rPr>
          <w:color w:val="666666"/>
        </w:rPr>
        <w:t xml:space="preserve"> 放对象四个确认条件和发放对象四个确认程序逐项严格把关，2</w:t>
      </w:r>
      <w:r>
        <w:rPr>
          <w:color w:val="666666"/>
          <w:spacing w:val="-1"/>
        </w:rPr>
        <w:t>022</w:t>
      </w:r>
      <w:r>
        <w:rPr>
          <w:color w:val="666666"/>
        </w:rPr>
        <w:t xml:space="preserve">  </w:t>
      </w:r>
      <w:r>
        <w:rPr>
          <w:color w:val="666666"/>
          <w:spacing w:val="-5"/>
        </w:rPr>
        <w:t>年共确认发放对象 208 人，与上年度相比新增 0 人，退出 84 人，按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2"/>
        </w:rPr>
        <w:t>每户每年 240 元的标准发放独生子女保健费，共发放资金 4.668 万</w:t>
      </w:r>
      <w:r>
        <w:rPr>
          <w:color w:val="666666"/>
          <w:spacing w:val="9"/>
        </w:rPr>
        <w:t xml:space="preserve">  </w:t>
      </w:r>
      <w:r>
        <w:rPr>
          <w:color w:val="666666"/>
          <w:spacing w:val="-1"/>
        </w:rPr>
        <w:t>元，对象确认准确率 100%，资金及时发放到位率 100%。</w:t>
      </w:r>
    </w:p>
    <w:p w14:paraId="2A06BA40">
      <w:pPr>
        <w:pStyle w:val="2"/>
        <w:spacing w:before="51" w:line="310" w:lineRule="auto"/>
        <w:ind w:left="18" w:right="153" w:firstLine="569"/>
        <w:jc w:val="both"/>
      </w:pPr>
      <w:r>
        <w:rPr>
          <w:color w:val="666666"/>
          <w:spacing w:val="-5"/>
        </w:rPr>
        <w:t>2022 年农村部分计划生育奖励扶助对象共 11520 人享受，发放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2"/>
        </w:rPr>
        <w:t>奖励资金 1105.92 万元。计划生育特别扶助对象共 620 人享受，其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2"/>
        </w:rPr>
        <w:t>中死亡扶助对象 353 人、伤残扶助 267 人，发放奖励资金 427.584</w:t>
      </w:r>
      <w:r>
        <w:rPr>
          <w:color w:val="666666"/>
          <w:spacing w:val="7"/>
        </w:rPr>
        <w:t xml:space="preserve"> </w:t>
      </w:r>
      <w:r>
        <w:rPr>
          <w:color w:val="666666"/>
          <w:spacing w:val="-2"/>
        </w:rPr>
        <w:t>元；手术并发症对象 46 人，发放补助金 22.0</w:t>
      </w:r>
      <w:r>
        <w:rPr>
          <w:color w:val="666666"/>
          <w:spacing w:val="-3"/>
        </w:rPr>
        <w:t>8 元。合计发放奖励金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1555.584 万元。</w:t>
      </w:r>
    </w:p>
    <w:p w14:paraId="010E88D2">
      <w:pPr>
        <w:pStyle w:val="2"/>
        <w:spacing w:before="124" w:line="311" w:lineRule="auto"/>
        <w:ind w:left="18" w:right="340" w:firstLine="556"/>
      </w:pPr>
      <w:r>
        <w:rPr>
          <w:color w:val="666666"/>
        </w:rPr>
        <w:t>农村部分计划生育奖励扶助和计划生育家庭特别扶助中</w:t>
      </w:r>
      <w:r>
        <w:rPr>
          <w:color w:val="666666"/>
          <w:spacing w:val="-1"/>
        </w:rPr>
        <w:t>央及省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级补助资金足额及时打卡发放到位。</w:t>
      </w:r>
    </w:p>
    <w:p w14:paraId="1D7E2D75">
      <w:pPr>
        <w:pStyle w:val="2"/>
        <w:spacing w:before="107" w:line="311" w:lineRule="auto"/>
        <w:ind w:left="16" w:firstLine="559"/>
        <w:jc w:val="both"/>
      </w:pPr>
      <w:r>
        <w:rPr>
          <w:color w:val="666666"/>
          <w:spacing w:val="-8"/>
        </w:rPr>
        <w:t>我市计划生育服务项目资金按照国家、省财政、省卫健委委要求，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3"/>
        </w:rPr>
        <w:t>市政府高度重视本级资金配套，按照要求，年初列</w:t>
      </w:r>
      <w:r>
        <w:rPr>
          <w:color w:val="666666"/>
          <w:spacing w:val="-4"/>
        </w:rPr>
        <w:t>入财政预算，并足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额下拨上级及本级配套资金。市卫健局、财政局归</w:t>
      </w:r>
      <w:r>
        <w:rPr>
          <w:color w:val="666666"/>
          <w:spacing w:val="-4"/>
        </w:rPr>
        <w:t>集各级配套资金到</w:t>
      </w:r>
      <w:r>
        <w:rPr>
          <w:color w:val="666666"/>
        </w:rPr>
        <w:t xml:space="preserve">   </w:t>
      </w:r>
      <w:r>
        <w:rPr>
          <w:color w:val="666666"/>
          <w:spacing w:val="-7"/>
        </w:rPr>
        <w:t>“奖励扶助金专户”，资金足额划拨至惠民惠农一卡通</w:t>
      </w:r>
      <w:r>
        <w:rPr>
          <w:color w:val="666666"/>
          <w:spacing w:val="-8"/>
        </w:rPr>
        <w:t>发放机构帐户，</w:t>
      </w:r>
    </w:p>
    <w:p w14:paraId="2F4E81E9">
      <w:pPr>
        <w:spacing w:line="311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64D43B36">
      <w:pPr>
        <w:spacing w:line="274" w:lineRule="auto"/>
        <w:rPr>
          <w:rFonts w:ascii="Arial"/>
          <w:sz w:val="21"/>
        </w:rPr>
      </w:pPr>
    </w:p>
    <w:p w14:paraId="5C8D71D6">
      <w:pPr>
        <w:spacing w:line="274" w:lineRule="auto"/>
        <w:rPr>
          <w:rFonts w:ascii="Arial"/>
          <w:sz w:val="21"/>
        </w:rPr>
      </w:pPr>
    </w:p>
    <w:p w14:paraId="3B866FF3">
      <w:pPr>
        <w:spacing w:line="275" w:lineRule="auto"/>
        <w:rPr>
          <w:rFonts w:ascii="Arial"/>
          <w:sz w:val="21"/>
        </w:rPr>
      </w:pPr>
    </w:p>
    <w:p w14:paraId="28A56726">
      <w:pPr>
        <w:spacing w:line="275" w:lineRule="auto"/>
        <w:rPr>
          <w:rFonts w:ascii="Arial"/>
          <w:sz w:val="21"/>
        </w:rPr>
      </w:pPr>
    </w:p>
    <w:p w14:paraId="6DF8E2DC">
      <w:pPr>
        <w:pStyle w:val="2"/>
        <w:spacing w:before="120" w:line="321" w:lineRule="auto"/>
        <w:ind w:left="16" w:right="13" w:hanging="1"/>
        <w:jc w:val="both"/>
      </w:pPr>
      <w:r>
        <w:rPr>
          <w:color w:val="666666"/>
          <w:spacing w:val="-3"/>
        </w:rPr>
        <w:t>确保奖励扶助资金及时、足额、直接发放到人，</w:t>
      </w:r>
      <w:r>
        <w:rPr>
          <w:color w:val="666666"/>
          <w:spacing w:val="-4"/>
        </w:rPr>
        <w:t>并对资金使用全过程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进行了严格的监督管理，杜绝了截留、挪用、抵押</w:t>
      </w:r>
      <w:r>
        <w:rPr>
          <w:color w:val="666666"/>
          <w:spacing w:val="-4"/>
        </w:rPr>
        <w:t>、冒领、贪污奖励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扶助金违规行为，确保了资金的安全发放。近年来</w:t>
      </w:r>
      <w:r>
        <w:rPr>
          <w:color w:val="666666"/>
          <w:spacing w:val="-4"/>
        </w:rPr>
        <w:t>，没有一人反映个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人没有领到奖励扶助金，及时发放到位率 100%，准确率 100%。</w:t>
      </w:r>
    </w:p>
    <w:p w14:paraId="715850B9">
      <w:pPr>
        <w:pStyle w:val="2"/>
        <w:spacing w:before="25" w:line="315" w:lineRule="auto"/>
        <w:ind w:left="16" w:right="13" w:firstLine="591"/>
      </w:pPr>
      <w:r>
        <w:rPr>
          <w:color w:val="666666"/>
          <w:spacing w:val="-5"/>
        </w:rPr>
        <w:t>自启动计划生育利益导向工作以来，深受广大群众的拥护，特别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3"/>
        </w:rPr>
        <w:t>是对计划生育工作起到了非常好的效果，同时也带动</w:t>
      </w:r>
      <w:r>
        <w:rPr>
          <w:color w:val="666666"/>
          <w:spacing w:val="-4"/>
        </w:rPr>
        <w:t>了周围百姓的生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育观念转变，同时现正享受对象更受欢迎，每年都有</w:t>
      </w:r>
      <w:r>
        <w:rPr>
          <w:color w:val="666666"/>
          <w:spacing w:val="-4"/>
        </w:rPr>
        <w:t>扶助金，并逐年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提升，确实给他（她）们在生活质量上得到改善，并</w:t>
      </w:r>
      <w:r>
        <w:rPr>
          <w:color w:val="666666"/>
          <w:spacing w:val="-4"/>
        </w:rPr>
        <w:t>且对家庭养殖得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到了资金的保障，觉得生活上有满足感。我们本次走</w:t>
      </w:r>
      <w:r>
        <w:rPr>
          <w:color w:val="666666"/>
          <w:spacing w:val="-4"/>
        </w:rPr>
        <w:t>访了观音滩镇沿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沽村、黎家坪镇九龙寺村，两个村农村奖扶共计 67</w:t>
      </w:r>
      <w:r>
        <w:rPr>
          <w:color w:val="666666"/>
          <w:spacing w:val="-2"/>
        </w:rPr>
        <w:t xml:space="preserve"> 人，特扶对象 1</w:t>
      </w:r>
      <w:r>
        <w:rPr>
          <w:color w:val="666666"/>
        </w:rPr>
        <w:t xml:space="preserve"> </w:t>
      </w:r>
      <w:r>
        <w:rPr>
          <w:color w:val="666666"/>
          <w:spacing w:val="2"/>
        </w:rPr>
        <w:t>人，并从全市特扶名单中抽查 4 人以及手术并发症 3 人进行调查。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3"/>
        </w:rPr>
        <w:t>在问卷调查中，我们共走访农村奖扶、计划生育特别</w:t>
      </w:r>
      <w:r>
        <w:rPr>
          <w:color w:val="666666"/>
          <w:spacing w:val="-4"/>
        </w:rPr>
        <w:t>扶助和手术并发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症对象共计 36 人，群众满意率 100%。</w:t>
      </w:r>
    </w:p>
    <w:p w14:paraId="5899BAE0">
      <w:pPr>
        <w:pStyle w:val="2"/>
        <w:spacing w:line="221" w:lineRule="auto"/>
        <w:ind w:left="594"/>
      </w:pPr>
      <w:r>
        <w:rPr>
          <w:color w:val="666666"/>
          <w:spacing w:val="-2"/>
        </w:rPr>
        <w:t>(4)公立医院综合改革</w:t>
      </w:r>
    </w:p>
    <w:p w14:paraId="305C942A">
      <w:pPr>
        <w:pStyle w:val="2"/>
        <w:spacing w:before="335" w:line="316" w:lineRule="auto"/>
        <w:ind w:left="17" w:right="32" w:firstLine="570"/>
      </w:pPr>
      <w:r>
        <w:rPr>
          <w:color w:val="666666"/>
          <w:spacing w:val="-1"/>
        </w:rPr>
        <w:t>2022 年全面执行公立医院综合改革政策，实行药品、耗材零差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价销售，控制药占比 30%以下，百元医疗收入材</w:t>
      </w:r>
      <w:r>
        <w:rPr>
          <w:color w:val="666666"/>
          <w:spacing w:val="-2"/>
        </w:rPr>
        <w:t>料费 20 元以下。</w:t>
      </w:r>
    </w:p>
    <w:p w14:paraId="40525DDB">
      <w:pPr>
        <w:pStyle w:val="2"/>
        <w:spacing w:before="35" w:line="312" w:lineRule="auto"/>
        <w:ind w:left="17" w:right="13" w:firstLine="581"/>
      </w:pPr>
      <w:r>
        <w:rPr>
          <w:color w:val="666666"/>
          <w:spacing w:val="-2"/>
        </w:rPr>
        <w:t>医疗设备都及时装备相关科室并充分利用于临床诊断服务，ICU</w:t>
      </w:r>
      <w:r>
        <w:rPr>
          <w:color w:val="666666"/>
          <w:spacing w:val="18"/>
        </w:rPr>
        <w:t xml:space="preserve"> </w:t>
      </w:r>
      <w:r>
        <w:rPr>
          <w:color w:val="666666"/>
          <w:spacing w:val="-3"/>
        </w:rPr>
        <w:t>扩建、糖尿病治疗中心及时完成，提高了医疗的</w:t>
      </w:r>
      <w:r>
        <w:rPr>
          <w:color w:val="666666"/>
          <w:spacing w:val="-4"/>
        </w:rPr>
        <w:t>核心竞争力，解决了</w:t>
      </w:r>
      <w:r>
        <w:rPr>
          <w:color w:val="666666"/>
        </w:rPr>
        <w:t xml:space="preserve"> 祁阳市人民看大病难的问题。提升患者对医生诊疗能</w:t>
      </w:r>
      <w:r>
        <w:rPr>
          <w:color w:val="666666"/>
          <w:spacing w:val="-1"/>
        </w:rPr>
        <w:t>力满意度。</w:t>
      </w:r>
    </w:p>
    <w:p w14:paraId="47733DD5">
      <w:pPr>
        <w:pStyle w:val="2"/>
        <w:spacing w:before="106" w:line="221" w:lineRule="auto"/>
        <w:ind w:left="594"/>
      </w:pPr>
      <w:r>
        <w:rPr>
          <w:color w:val="666666"/>
          <w:spacing w:val="-2"/>
        </w:rPr>
        <w:t>(5)中医药事业传承与发展</w:t>
      </w:r>
    </w:p>
    <w:p w14:paraId="4D6863E5">
      <w:pPr>
        <w:spacing w:line="221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2B0C67C0">
      <w:pPr>
        <w:spacing w:line="260" w:lineRule="auto"/>
        <w:rPr>
          <w:rFonts w:ascii="Arial"/>
          <w:sz w:val="21"/>
        </w:rPr>
      </w:pPr>
    </w:p>
    <w:p w14:paraId="5A4A5C5E">
      <w:pPr>
        <w:spacing w:line="261" w:lineRule="auto"/>
        <w:rPr>
          <w:rFonts w:ascii="Arial"/>
          <w:sz w:val="21"/>
        </w:rPr>
      </w:pPr>
    </w:p>
    <w:p w14:paraId="1ADC2D17">
      <w:pPr>
        <w:spacing w:line="261" w:lineRule="auto"/>
        <w:rPr>
          <w:rFonts w:ascii="Arial"/>
          <w:sz w:val="21"/>
        </w:rPr>
      </w:pPr>
    </w:p>
    <w:p w14:paraId="09371340">
      <w:pPr>
        <w:spacing w:line="261" w:lineRule="auto"/>
        <w:rPr>
          <w:rFonts w:ascii="Arial"/>
          <w:sz w:val="21"/>
        </w:rPr>
      </w:pPr>
    </w:p>
    <w:p w14:paraId="48429EAD">
      <w:pPr>
        <w:pStyle w:val="2"/>
        <w:spacing w:before="120" w:line="312" w:lineRule="auto"/>
        <w:ind w:left="20" w:right="165" w:firstLine="567"/>
        <w:jc w:val="both"/>
      </w:pPr>
      <w:r>
        <w:rPr>
          <w:color w:val="666666"/>
          <w:spacing w:val="-2"/>
        </w:rPr>
        <w:t>2022 年全市购买医疗设备 5 台（套）、选派外出进修和规培学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3"/>
        </w:rPr>
        <w:t>员 28 人、培训中医护理骨干 1 人。通过项目开展，助推公立中医医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院综合改革和医疗服务与能力提升的预期目标。</w:t>
      </w:r>
    </w:p>
    <w:p w14:paraId="16483DD2">
      <w:pPr>
        <w:pStyle w:val="2"/>
        <w:spacing w:before="155" w:line="311" w:lineRule="auto"/>
        <w:ind w:left="17" w:right="165" w:firstLine="558"/>
      </w:pPr>
      <w:r>
        <w:rPr>
          <w:color w:val="666666"/>
          <w:spacing w:val="-4"/>
        </w:rPr>
        <w:t>通过开展培训，切实提高基层医疗机构中医药服务能力、满足城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3"/>
        </w:rPr>
        <w:t>乡居民对中医药医疗保健服务需求，提高中医药</w:t>
      </w:r>
      <w:r>
        <w:rPr>
          <w:color w:val="666666"/>
          <w:spacing w:val="-4"/>
        </w:rPr>
        <w:t>在基层的可及性和可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得性。</w:t>
      </w:r>
    </w:p>
    <w:p w14:paraId="78A2B403">
      <w:pPr>
        <w:pStyle w:val="2"/>
        <w:spacing w:before="62" w:line="221" w:lineRule="auto"/>
        <w:ind w:left="594"/>
      </w:pPr>
      <w:r>
        <w:rPr>
          <w:color w:val="666666"/>
          <w:spacing w:val="-2"/>
        </w:rPr>
        <w:t>(6)医疗服务与保障能力提升</w:t>
      </w:r>
    </w:p>
    <w:p w14:paraId="678820DE">
      <w:pPr>
        <w:pStyle w:val="2"/>
        <w:spacing w:before="281" w:line="308" w:lineRule="auto"/>
        <w:ind w:left="17" w:right="165" w:firstLine="570"/>
      </w:pPr>
      <w:r>
        <w:rPr>
          <w:color w:val="666666"/>
          <w:spacing w:val="-4"/>
        </w:rPr>
        <w:t>2022 年采购医疗设备 1000 万元,用于 ICU 扩建、糖尿病治疗中</w:t>
      </w:r>
      <w:r>
        <w:rPr>
          <w:color w:val="666666"/>
          <w:spacing w:val="5"/>
        </w:rPr>
        <w:t xml:space="preserve"> </w:t>
      </w:r>
      <w:r>
        <w:rPr>
          <w:color w:val="666666"/>
          <w:spacing w:val="-1"/>
        </w:rPr>
        <w:t>心。医疗设备都及时装备相关科室并充分利用于临床诊断服务，ICU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3"/>
        </w:rPr>
        <w:t>扩建、糖尿病治疗中心及时完成，提高了医疗的</w:t>
      </w:r>
      <w:r>
        <w:rPr>
          <w:color w:val="666666"/>
          <w:spacing w:val="-4"/>
        </w:rPr>
        <w:t>核心竞争力，解决了</w:t>
      </w:r>
      <w:r>
        <w:rPr>
          <w:color w:val="666666"/>
        </w:rPr>
        <w:t xml:space="preserve"> 祁阳市人民看大病难的问题。提升患者对医生诊疗能</w:t>
      </w:r>
      <w:r>
        <w:rPr>
          <w:color w:val="666666"/>
          <w:spacing w:val="-1"/>
        </w:rPr>
        <w:t>力满意度。</w:t>
      </w:r>
    </w:p>
    <w:p w14:paraId="61976212">
      <w:pPr>
        <w:pStyle w:val="2"/>
        <w:spacing w:before="142" w:line="307" w:lineRule="auto"/>
        <w:ind w:left="16" w:firstLine="560"/>
        <w:jc w:val="both"/>
      </w:pPr>
      <w:r>
        <w:rPr>
          <w:color w:val="666666"/>
          <w:spacing w:val="-1"/>
        </w:rPr>
        <w:t>全年总诊疗量增长为 9.23%；健康体检人数增长 36.9%；基层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门急诊人次同比增长 9.3%；互联网开展协同诊疗人次增长 102.5%；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3"/>
        </w:rPr>
        <w:t>业务总收入增长 8.1%。基层医疗卫生机构中医综合服务区（中医馆）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建设、特色专科能力建设完成率 100%；公立医院医疗服务收入（不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3"/>
        </w:rPr>
        <w:t>含药品、耗材、检查、化验收入）占医疗收入比例较</w:t>
      </w:r>
      <w:r>
        <w:rPr>
          <w:color w:val="666666"/>
          <w:spacing w:val="-4"/>
        </w:rPr>
        <w:t>上年提高；全科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医生特设岗位在岗人数 100%；妇幼保健机构能力建设项目覆盖机构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2"/>
        </w:rPr>
        <w:t>数量完成率 100%。人才培养合格率≥</w:t>
      </w:r>
      <w:r>
        <w:rPr>
          <w:color w:val="666666"/>
          <w:spacing w:val="-3"/>
        </w:rPr>
        <w:t>95%；培训计划完成率≥70%；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3 公立医院平均住院日≦9.35 天；4 建设项目合格率≥100%；辖区孕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1"/>
        </w:rPr>
        <w:t>产妇系统管理率≥95%。助理全科医生培</w:t>
      </w:r>
      <w:r>
        <w:rPr>
          <w:color w:val="666666"/>
          <w:spacing w:val="-2"/>
        </w:rPr>
        <w:t>训：我市助理全科医生规范</w:t>
      </w:r>
      <w:r>
        <w:rPr>
          <w:color w:val="666666"/>
        </w:rPr>
        <w:t xml:space="preserve">   化培训项目资金支出的服务对象是全体助理全科医生规范化培</w:t>
      </w:r>
      <w:r>
        <w:rPr>
          <w:color w:val="666666"/>
          <w:spacing w:val="-1"/>
        </w:rPr>
        <w:t>训学</w:t>
      </w:r>
    </w:p>
    <w:p w14:paraId="15180877">
      <w:pPr>
        <w:spacing w:line="307" w:lineRule="auto"/>
        <w:sectPr>
          <w:pgSz w:w="11906" w:h="16839"/>
          <w:pgMar w:top="400" w:right="1633" w:bottom="0" w:left="1785" w:header="0" w:footer="0" w:gutter="0"/>
          <w:cols w:space="720" w:num="1"/>
        </w:sectPr>
      </w:pPr>
    </w:p>
    <w:p w14:paraId="78F84193">
      <w:pPr>
        <w:spacing w:line="260" w:lineRule="auto"/>
        <w:rPr>
          <w:rFonts w:ascii="Arial"/>
          <w:sz w:val="21"/>
        </w:rPr>
      </w:pPr>
    </w:p>
    <w:p w14:paraId="21E00D59">
      <w:pPr>
        <w:spacing w:line="260" w:lineRule="auto"/>
        <w:rPr>
          <w:rFonts w:ascii="Arial"/>
          <w:sz w:val="21"/>
        </w:rPr>
      </w:pPr>
    </w:p>
    <w:p w14:paraId="60BAB043">
      <w:pPr>
        <w:spacing w:line="260" w:lineRule="auto"/>
        <w:rPr>
          <w:rFonts w:ascii="Arial"/>
          <w:sz w:val="21"/>
        </w:rPr>
      </w:pPr>
    </w:p>
    <w:p w14:paraId="703B45A3">
      <w:pPr>
        <w:spacing w:line="261" w:lineRule="auto"/>
        <w:rPr>
          <w:rFonts w:ascii="Arial"/>
          <w:sz w:val="21"/>
        </w:rPr>
      </w:pPr>
    </w:p>
    <w:p w14:paraId="6BA1EFB0">
      <w:pPr>
        <w:pStyle w:val="2"/>
        <w:spacing w:before="120" w:line="309" w:lineRule="auto"/>
        <w:ind w:left="15" w:right="85" w:firstLine="5"/>
        <w:jc w:val="both"/>
      </w:pPr>
      <w:r>
        <w:rPr>
          <w:color w:val="666666"/>
          <w:spacing w:val="-3"/>
        </w:rPr>
        <w:t>员，根据《湖南省卫生健康委关于开展 2022 年度绩效评价工作的通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1"/>
        </w:rPr>
        <w:t>知》、《助理全科医生培训标准（2020 年版）》、《助理全科医生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15"/>
        </w:rPr>
        <w:t>培训基地遴选标准（2020 年版）》的标准和要求，我市 202</w:t>
      </w:r>
      <w:r>
        <w:rPr>
          <w:color w:val="666666"/>
          <w:spacing w:val="-16"/>
        </w:rPr>
        <w:t>2 年（8-12</w:t>
      </w:r>
      <w:r>
        <w:rPr>
          <w:color w:val="666666"/>
        </w:rPr>
        <w:t xml:space="preserve"> </w:t>
      </w:r>
      <w:r>
        <w:rPr>
          <w:color w:val="666666"/>
          <w:spacing w:val="-9"/>
        </w:rPr>
        <w:t>月）助培全科医生规范化培训专项资金完成率 100</w:t>
      </w:r>
      <w:r>
        <w:rPr>
          <w:color w:val="666666"/>
          <w:spacing w:val="-10"/>
        </w:rPr>
        <w:t>％。2022 年（8-12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月）实际使用资金为 215426 万元，实际培训人数为 20 人。各项绩</w:t>
      </w:r>
      <w:r>
        <w:rPr>
          <w:color w:val="666666"/>
          <w:spacing w:val="11"/>
        </w:rPr>
        <w:t xml:space="preserve"> </w:t>
      </w:r>
      <w:r>
        <w:rPr>
          <w:color w:val="666666"/>
          <w:spacing w:val="-3"/>
        </w:rPr>
        <w:t>效指标完成满意，在预设成本总量控制范围内，按质按</w:t>
      </w:r>
      <w:r>
        <w:rPr>
          <w:color w:val="666666"/>
          <w:spacing w:val="-4"/>
        </w:rPr>
        <w:t>量按时地完成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了培训目标，有良好的经济、社会效益，对培训学员及</w:t>
      </w:r>
      <w:r>
        <w:rPr>
          <w:color w:val="666666"/>
          <w:spacing w:val="-4"/>
        </w:rPr>
        <w:t>本院临床医护</w:t>
      </w:r>
      <w:r>
        <w:rPr>
          <w:color w:val="666666"/>
        </w:rPr>
        <w:t xml:space="preserve"> 人员的专业技术水平和服务能力有一定的提升。</w:t>
      </w:r>
    </w:p>
    <w:p w14:paraId="56512597">
      <w:pPr>
        <w:pStyle w:val="2"/>
        <w:spacing w:before="154" w:line="221" w:lineRule="auto"/>
        <w:ind w:left="594"/>
      </w:pPr>
      <w:r>
        <w:rPr>
          <w:color w:val="666666"/>
          <w:spacing w:val="-2"/>
        </w:rPr>
        <w:t>(7)重大传染病防控</w:t>
      </w:r>
    </w:p>
    <w:p w14:paraId="7B43F33D">
      <w:pPr>
        <w:pStyle w:val="2"/>
        <w:spacing w:before="283" w:line="308" w:lineRule="auto"/>
        <w:ind w:left="17" w:right="85" w:firstLine="570"/>
      </w:pPr>
      <w:r>
        <w:rPr>
          <w:color w:val="666666"/>
          <w:spacing w:val="-2"/>
        </w:rPr>
        <w:t>2022 年，全市共报告法定传染病 9139 例（按审核日期</w:t>
      </w:r>
      <w:r>
        <w:rPr>
          <w:color w:val="666666"/>
          <w:spacing w:val="4"/>
        </w:rPr>
        <w:t>），</w:t>
      </w:r>
      <w:r>
        <w:rPr>
          <w:color w:val="666666"/>
          <w:spacing w:val="-2"/>
        </w:rPr>
        <w:t>与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3"/>
        </w:rPr>
        <w:t>去年（4670 例）比较上升 95.7%；死亡 12 例与去年（49 例）比较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1"/>
        </w:rPr>
        <w:t>下降 75.51%；发病率 1067.28/10 万，与去年（</w:t>
      </w:r>
      <w:r>
        <w:rPr>
          <w:color w:val="666666"/>
          <w:spacing w:val="-2"/>
        </w:rPr>
        <w:t>545.38/10 万）比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较上升 95.7%；死亡率 1.4/10 万，病死率 0</w:t>
      </w:r>
      <w:r>
        <w:rPr>
          <w:color w:val="666666"/>
          <w:spacing w:val="-3"/>
        </w:rPr>
        <w:t>.13%。无甲类传染病报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告。乙类传染病报告 2008 例，与去年同期（230</w:t>
      </w:r>
      <w:r>
        <w:rPr>
          <w:color w:val="666666"/>
          <w:spacing w:val="-2"/>
        </w:rPr>
        <w:t>9 例）比较下降</w:t>
      </w:r>
    </w:p>
    <w:p w14:paraId="3C89DAFF">
      <w:pPr>
        <w:pStyle w:val="2"/>
        <w:spacing w:before="37" w:line="308" w:lineRule="auto"/>
        <w:ind w:left="18" w:firstLine="20"/>
      </w:pPr>
      <w:r>
        <w:rPr>
          <w:color w:val="666666"/>
          <w:spacing w:val="-4"/>
        </w:rPr>
        <w:t>14.76%；死亡 12 例（其中艾滋病病例 1</w:t>
      </w:r>
      <w:r>
        <w:rPr>
          <w:color w:val="666666"/>
          <w:spacing w:val="-5"/>
        </w:rPr>
        <w:t>0 例，结核病病例 1 例，狂</w:t>
      </w:r>
      <w:r>
        <w:rPr>
          <w:color w:val="666666"/>
        </w:rPr>
        <w:t xml:space="preserve">  </w:t>
      </w:r>
      <w:r>
        <w:rPr>
          <w:color w:val="666666"/>
          <w:spacing w:val="-4"/>
        </w:rPr>
        <w:t>犬病 1 例</w:t>
      </w:r>
      <w:r>
        <w:rPr>
          <w:color w:val="666666"/>
          <w:spacing w:val="-32"/>
        </w:rPr>
        <w:t>），</w:t>
      </w:r>
      <w:r>
        <w:rPr>
          <w:color w:val="666666"/>
          <w:spacing w:val="-4"/>
        </w:rPr>
        <w:t>与去年（49 例）比较下降 75.51%；</w:t>
      </w:r>
      <w:r>
        <w:rPr>
          <w:color w:val="666666"/>
          <w:spacing w:val="-5"/>
        </w:rPr>
        <w:t>发病率 234.51/10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万，与去年同期（269.65/10 万）比较下降 13</w:t>
      </w:r>
      <w:r>
        <w:rPr>
          <w:color w:val="666666"/>
          <w:spacing w:val="-4"/>
        </w:rPr>
        <w:t>.04%；病死率 0.6%。</w:t>
      </w:r>
      <w:r>
        <w:rPr>
          <w:color w:val="666666"/>
        </w:rPr>
        <w:t xml:space="preserve"> </w:t>
      </w:r>
      <w:r>
        <w:rPr>
          <w:color w:val="666666"/>
          <w:spacing w:val="-5"/>
        </w:rPr>
        <w:t>丙类传染病报告 7131 例，无死亡病例，发病率 832.78/10 万，其中</w:t>
      </w:r>
      <w:r>
        <w:rPr>
          <w:color w:val="666666"/>
          <w:spacing w:val="5"/>
        </w:rPr>
        <w:t xml:space="preserve">  </w:t>
      </w:r>
      <w:r>
        <w:rPr>
          <w:color w:val="666666"/>
          <w:spacing w:val="-2"/>
        </w:rPr>
        <w:t>报告流感 5338 例，手足口病 982 例（重症 2 例、无死亡病例）。</w:t>
      </w:r>
    </w:p>
    <w:p w14:paraId="1A13DBB6">
      <w:pPr>
        <w:pStyle w:val="2"/>
        <w:spacing w:before="89" w:line="185" w:lineRule="auto"/>
        <w:ind w:left="19"/>
      </w:pPr>
      <w:r>
        <w:rPr>
          <w:color w:val="666666"/>
          <w:spacing w:val="-1"/>
        </w:rPr>
        <w:t>无霍乱、非典、人禽流感等重大传染病疫情。</w:t>
      </w:r>
    </w:p>
    <w:p w14:paraId="3A9DD162">
      <w:pPr>
        <w:spacing w:line="185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513A991D">
      <w:pPr>
        <w:spacing w:line="279" w:lineRule="auto"/>
        <w:rPr>
          <w:rFonts w:ascii="Arial"/>
          <w:sz w:val="21"/>
        </w:rPr>
      </w:pPr>
    </w:p>
    <w:p w14:paraId="2279B00A">
      <w:pPr>
        <w:spacing w:line="279" w:lineRule="auto"/>
        <w:rPr>
          <w:rFonts w:ascii="Arial"/>
          <w:sz w:val="21"/>
        </w:rPr>
      </w:pPr>
    </w:p>
    <w:p w14:paraId="6562FEC2">
      <w:pPr>
        <w:spacing w:line="279" w:lineRule="auto"/>
        <w:rPr>
          <w:rFonts w:ascii="Arial"/>
          <w:sz w:val="21"/>
        </w:rPr>
      </w:pPr>
    </w:p>
    <w:p w14:paraId="7215A9D4">
      <w:pPr>
        <w:spacing w:line="280" w:lineRule="auto"/>
        <w:rPr>
          <w:rFonts w:ascii="Arial"/>
          <w:sz w:val="21"/>
        </w:rPr>
      </w:pPr>
    </w:p>
    <w:p w14:paraId="714B2F6B">
      <w:pPr>
        <w:pStyle w:val="2"/>
        <w:spacing w:before="120" w:line="311" w:lineRule="auto"/>
        <w:ind w:left="15" w:firstLine="561"/>
      </w:pPr>
      <w:r>
        <w:rPr>
          <w:color w:val="666666"/>
          <w:spacing w:val="-4"/>
        </w:rPr>
        <w:t>在市委、市政府及市新冠肺炎疫情防控指挥部的领导下，认真落</w:t>
      </w:r>
      <w:r>
        <w:rPr>
          <w:color w:val="666666"/>
          <w:spacing w:val="5"/>
        </w:rPr>
        <w:t xml:space="preserve">   </w:t>
      </w:r>
      <w:r>
        <w:rPr>
          <w:color w:val="666666"/>
          <w:spacing w:val="-3"/>
        </w:rPr>
        <w:t>实各项常态化防控措施。制订了全市新冠肺炎疫情防控</w:t>
      </w:r>
      <w:r>
        <w:rPr>
          <w:color w:val="666666"/>
          <w:spacing w:val="-4"/>
        </w:rPr>
        <w:t>应急预案，新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冠病毒全员核酸检测应急预案和工作实施方案，常态化</w:t>
      </w:r>
      <w:r>
        <w:rPr>
          <w:color w:val="666666"/>
          <w:spacing w:val="-4"/>
        </w:rPr>
        <w:t>防控流调、采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样及消毒队伍等系列文件。同时，按照省市新冠肺炎防</w:t>
      </w:r>
      <w:r>
        <w:rPr>
          <w:color w:val="666666"/>
          <w:spacing w:val="-4"/>
        </w:rPr>
        <w:t>控要求制订了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应急状态下流调管控工作实施方案、应急演练方案等系列文件。1 月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18</w:t>
      </w:r>
      <w:r>
        <w:rPr>
          <w:color w:val="666666"/>
          <w:spacing w:val="28"/>
          <w:w w:val="101"/>
        </w:rPr>
        <w:t xml:space="preserve"> </w:t>
      </w:r>
      <w:r>
        <w:rPr>
          <w:color w:val="666666"/>
          <w:spacing w:val="-3"/>
        </w:rPr>
        <w:t>日对全市医疗机构、社区工作组等开展新冠疫情常态</w:t>
      </w:r>
      <w:r>
        <w:rPr>
          <w:color w:val="666666"/>
          <w:spacing w:val="-4"/>
        </w:rPr>
        <w:t>化防控培训，</w:t>
      </w:r>
      <w:r>
        <w:rPr>
          <w:color w:val="666666"/>
        </w:rPr>
        <w:t xml:space="preserve"> </w:t>
      </w:r>
      <w:r>
        <w:rPr>
          <w:color w:val="666666"/>
          <w:spacing w:val="-4"/>
        </w:rPr>
        <w:t>共培训 200 余人次；4 月 24</w:t>
      </w:r>
      <w:r>
        <w:rPr>
          <w:color w:val="666666"/>
          <w:spacing w:val="44"/>
          <w:w w:val="101"/>
        </w:rPr>
        <w:t xml:space="preserve"> </w:t>
      </w:r>
      <w:r>
        <w:rPr>
          <w:color w:val="666666"/>
          <w:spacing w:val="-4"/>
        </w:rPr>
        <w:t>日举办新冠肺炎疫情防控培训，十个工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作组组长、相关成员单位分管领导、卫健局及市直医疗</w:t>
      </w:r>
      <w:r>
        <w:rPr>
          <w:color w:val="666666"/>
          <w:spacing w:val="-4"/>
        </w:rPr>
        <w:t>机构、市疾控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中心等参加；一年来多次对全市各乡镇卫生院、县直医</w:t>
      </w:r>
      <w:r>
        <w:rPr>
          <w:color w:val="666666"/>
          <w:spacing w:val="-4"/>
        </w:rPr>
        <w:t>疗卫生单位及</w:t>
      </w:r>
      <w:r>
        <w:rPr>
          <w:color w:val="666666"/>
        </w:rPr>
        <w:t xml:space="preserve">   重点机构开展了新冠病毒核酸检测采样、消毒及流调溯源能力提升、 </w:t>
      </w:r>
      <w:r>
        <w:rPr>
          <w:color w:val="666666"/>
          <w:spacing w:val="-6"/>
        </w:rPr>
        <w:t>新冠肺炎疫情防控方案（第九版）等知识培训，共培训 2000 余人次；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2022 年 10 月对各交通卡点工作人员开展新冠肺炎疫</w:t>
      </w:r>
      <w:r>
        <w:rPr>
          <w:color w:val="666666"/>
          <w:spacing w:val="-2"/>
        </w:rPr>
        <w:t>情防控工作培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培训，共培训 200 余人次；中心对流调、消毒人员开展了</w:t>
      </w:r>
      <w:r>
        <w:rPr>
          <w:color w:val="666666"/>
          <w:spacing w:val="-2"/>
        </w:rPr>
        <w:t>专题培训，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多次对专业技术人员开展了流调、采样及消毒等防控知</w:t>
      </w:r>
      <w:r>
        <w:rPr>
          <w:color w:val="666666"/>
          <w:spacing w:val="-4"/>
        </w:rPr>
        <w:t>识培训。积极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参加新冠病毒核酸检测初筛阳性处置、流调溯源能力提</w:t>
      </w:r>
      <w:r>
        <w:rPr>
          <w:color w:val="666666"/>
          <w:spacing w:val="-4"/>
        </w:rPr>
        <w:t>升、集中隔离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医学观察点管理等内容的省、市新冠疫情防控线上视频</w:t>
      </w:r>
      <w:r>
        <w:rPr>
          <w:color w:val="666666"/>
          <w:spacing w:val="-4"/>
        </w:rPr>
        <w:t>会议。共开展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病例排查 500 余起，主要包括省防控指挥部推送的排查信息、各协</w:t>
      </w:r>
      <w:r>
        <w:rPr>
          <w:color w:val="666666"/>
          <w:spacing w:val="1"/>
        </w:rPr>
        <w:t xml:space="preserve">    </w:t>
      </w:r>
      <w:r>
        <w:rPr>
          <w:color w:val="666666"/>
          <w:spacing w:val="-1"/>
        </w:rPr>
        <w:t>查函、密切接触者及次密等病例排查工作。开展流行病学调查 350</w:t>
      </w:r>
      <w:r>
        <w:rPr>
          <w:color w:val="666666"/>
          <w:spacing w:val="3"/>
        </w:rPr>
        <w:t xml:space="preserve">     </w:t>
      </w:r>
      <w:r>
        <w:rPr>
          <w:color w:val="666666"/>
          <w:spacing w:val="-2"/>
        </w:rPr>
        <w:t>余起、采样 350 余起、消毒 200 余起，共调查 3000 余人次</w:t>
      </w:r>
      <w:r>
        <w:rPr>
          <w:color w:val="666666"/>
          <w:spacing w:val="-3"/>
        </w:rPr>
        <w:t>，采样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5000 余人次，消毒面积近 15 万平方米，共出动流调组 1500 余个，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2"/>
        </w:rPr>
        <w:t>采样组 500 余个，消毒组 400 余个，共 3000 余人次</w:t>
      </w:r>
      <w:r>
        <w:rPr>
          <w:color w:val="666666"/>
          <w:spacing w:val="-3"/>
        </w:rPr>
        <w:t>。开展核酸检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测工作。对全市市直医疗机构及所有乡镇均安装了全员</w:t>
      </w:r>
      <w:r>
        <w:rPr>
          <w:color w:val="666666"/>
          <w:spacing w:val="-4"/>
        </w:rPr>
        <w:t>核酸检测信息</w:t>
      </w:r>
    </w:p>
    <w:p w14:paraId="09C9D435">
      <w:pPr>
        <w:spacing w:line="311" w:lineRule="auto"/>
        <w:sectPr>
          <w:pgSz w:w="11906" w:h="16839"/>
          <w:pgMar w:top="400" w:right="1642" w:bottom="0" w:left="1785" w:header="0" w:footer="0" w:gutter="0"/>
          <w:cols w:space="720" w:num="1"/>
        </w:sectPr>
      </w:pPr>
    </w:p>
    <w:p w14:paraId="4762EF0D">
      <w:pPr>
        <w:spacing w:line="275" w:lineRule="auto"/>
        <w:rPr>
          <w:rFonts w:ascii="Arial"/>
          <w:sz w:val="21"/>
        </w:rPr>
      </w:pPr>
    </w:p>
    <w:p w14:paraId="46796B7C">
      <w:pPr>
        <w:spacing w:line="275" w:lineRule="auto"/>
        <w:rPr>
          <w:rFonts w:ascii="Arial"/>
          <w:sz w:val="21"/>
        </w:rPr>
      </w:pPr>
    </w:p>
    <w:p w14:paraId="1361FA78">
      <w:pPr>
        <w:spacing w:line="275" w:lineRule="auto"/>
        <w:rPr>
          <w:rFonts w:ascii="Arial"/>
          <w:sz w:val="21"/>
        </w:rPr>
      </w:pPr>
    </w:p>
    <w:p w14:paraId="03BC022D">
      <w:pPr>
        <w:spacing w:line="276" w:lineRule="auto"/>
        <w:rPr>
          <w:rFonts w:ascii="Arial"/>
          <w:sz w:val="21"/>
        </w:rPr>
      </w:pPr>
    </w:p>
    <w:p w14:paraId="334E8124">
      <w:pPr>
        <w:pStyle w:val="2"/>
        <w:spacing w:before="120" w:line="311" w:lineRule="auto"/>
        <w:ind w:left="16" w:firstLine="1"/>
        <w:jc w:val="both"/>
      </w:pPr>
      <w:r>
        <w:rPr>
          <w:color w:val="666666"/>
          <w:spacing w:val="-3"/>
        </w:rPr>
        <w:t>化管理系统。中心对排查病例、各风险职业人群</w:t>
      </w:r>
      <w:r>
        <w:rPr>
          <w:color w:val="666666"/>
          <w:spacing w:val="-4"/>
        </w:rPr>
        <w:t>、重点人群、医疗机</w:t>
      </w:r>
      <w:r>
        <w:rPr>
          <w:color w:val="666666"/>
        </w:rPr>
        <w:t xml:space="preserve">  构就诊人员、物品及环境、其他愿检尽检人员开展了核酸检测工作，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-1"/>
        </w:rPr>
        <w:t>2022 年共开展核酸检测 280 万</w:t>
      </w:r>
      <w:r>
        <w:rPr>
          <w:color w:val="666666"/>
          <w:spacing w:val="-2"/>
        </w:rPr>
        <w:t>人，2022 年，共接收新冠疫情信息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系统反馈信息 2305 条，自行排查列车信息 4627 条，报告新冠初筛</w:t>
      </w:r>
      <w:r>
        <w:rPr>
          <w:color w:val="666666"/>
          <w:spacing w:val="4"/>
        </w:rPr>
        <w:t xml:space="preserve">  </w:t>
      </w:r>
      <w:r>
        <w:rPr>
          <w:color w:val="666666"/>
          <w:spacing w:val="-5"/>
        </w:rPr>
        <w:t>阳性 16 例，外县区报 10 例，外县区报新冠确诊病例 14 例，共处理</w:t>
      </w:r>
      <w:r>
        <w:rPr>
          <w:color w:val="666666"/>
          <w:spacing w:val="1"/>
        </w:rPr>
        <w:t xml:space="preserve">  </w:t>
      </w:r>
      <w:r>
        <w:rPr>
          <w:color w:val="666666"/>
          <w:spacing w:val="-4"/>
        </w:rPr>
        <w:t>预警 232 次。</w:t>
      </w:r>
    </w:p>
    <w:p w14:paraId="68AA22D4">
      <w:pPr>
        <w:pStyle w:val="2"/>
        <w:spacing w:before="92" w:line="311" w:lineRule="auto"/>
        <w:ind w:left="16" w:right="70" w:firstLine="560"/>
        <w:jc w:val="both"/>
      </w:pPr>
      <w:r>
        <w:rPr>
          <w:color w:val="666666"/>
          <w:spacing w:val="-4"/>
        </w:rPr>
        <w:t>按照上级业务工作要求开展了霍乱、不明原因肺炎和人感染禽流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3"/>
        </w:rPr>
        <w:t>感、狂犬病、钩体、肾综合征出血热、手足口病、布</w:t>
      </w:r>
      <w:r>
        <w:rPr>
          <w:color w:val="666666"/>
          <w:spacing w:val="-4"/>
        </w:rPr>
        <w:t>鲁氏菌病等传染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病监测。对报告的流行性出血热病例、布鲁氏菌病病</w:t>
      </w:r>
      <w:r>
        <w:rPr>
          <w:color w:val="666666"/>
          <w:spacing w:val="-4"/>
        </w:rPr>
        <w:t>例及时开展个案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调查并上报。截止 12 月 31</w:t>
      </w:r>
      <w:r>
        <w:rPr>
          <w:color w:val="666666"/>
          <w:spacing w:val="45"/>
        </w:rPr>
        <w:t xml:space="preserve"> </w:t>
      </w:r>
      <w:r>
        <w:rPr>
          <w:color w:val="666666"/>
          <w:spacing w:val="-3"/>
        </w:rPr>
        <w:t>日全市无不明原因肺炎病例报告；及时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处置 2 起散发出血热、</w:t>
      </w:r>
      <w:r>
        <w:rPr>
          <w:color w:val="666666"/>
          <w:spacing w:val="-63"/>
        </w:rPr>
        <w:t xml:space="preserve"> </w:t>
      </w:r>
      <w:r>
        <w:rPr>
          <w:color w:val="666666"/>
          <w:spacing w:val="-2"/>
        </w:rPr>
        <w:t>3 起布鲁氏菌病疫情；1-12 月共</w:t>
      </w:r>
      <w:r>
        <w:rPr>
          <w:color w:val="666666"/>
          <w:spacing w:val="-3"/>
        </w:rPr>
        <w:t>采集手足口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病散发普通病例及聚集性病例样品共 60 份；</w:t>
      </w:r>
      <w:r>
        <w:rPr>
          <w:color w:val="666666"/>
          <w:spacing w:val="-2"/>
        </w:rPr>
        <w:t>6 月开展职业暴露人群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流行病学调查 3 人，采集血清 3 份，送检结果均为阴性；5-10 月开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3"/>
        </w:rPr>
        <w:t>展了霍乱疫源检索，对自然水体、疫区、医院污水、</w:t>
      </w:r>
      <w:r>
        <w:rPr>
          <w:color w:val="666666"/>
          <w:spacing w:val="-4"/>
        </w:rPr>
        <w:t>海（水）产品等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进行了采样检测，督促各镇及时开放腹泻门诊，并做到“逢泻必登、</w:t>
      </w:r>
      <w:r>
        <w:rPr>
          <w:color w:val="666666"/>
        </w:rPr>
        <w:t xml:space="preserve"> </w:t>
      </w:r>
      <w:r>
        <w:rPr>
          <w:color w:val="666666"/>
          <w:spacing w:val="-4"/>
        </w:rPr>
        <w:t>逢疑必检”。截止 10 月底，全市共登记腹泻病人 929 例，检索 248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2"/>
        </w:rPr>
        <w:t>例，检索率 26.70%；外环境检索 132 份，其中外环境水样 43 份</w:t>
      </w:r>
      <w:r>
        <w:rPr>
          <w:color w:val="666666"/>
          <w:spacing w:val="-35"/>
        </w:rPr>
        <w:t xml:space="preserve"> </w:t>
      </w:r>
      <w:r>
        <w:rPr>
          <w:color w:val="666666"/>
          <w:spacing w:val="-2"/>
        </w:rPr>
        <w:t>，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食品及海水产品 89 份，检测结果均为阴性；开展了狂犬病暴露人群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6"/>
        </w:rPr>
        <w:t>监测，1-12 月共登记 8685 人次，其中 Ⅰ级暴露 87 人次，Ⅱ级暴露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2"/>
        </w:rPr>
        <w:t>5164 人次，</w:t>
      </w:r>
      <w:r>
        <w:rPr>
          <w:color w:val="666666"/>
          <w:spacing w:val="-55"/>
        </w:rPr>
        <w:t xml:space="preserve"> </w:t>
      </w:r>
      <w:r>
        <w:rPr>
          <w:color w:val="666666"/>
          <w:spacing w:val="-2"/>
        </w:rPr>
        <w:t>Ⅲ级暴露 3426 人次，均规范接种了狂犬疫苗，增强了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人群免疫力。</w:t>
      </w:r>
    </w:p>
    <w:p w14:paraId="6171CB91">
      <w:pPr>
        <w:spacing w:line="311" w:lineRule="auto"/>
        <w:sectPr>
          <w:pgSz w:w="11906" w:h="16839"/>
          <w:pgMar w:top="400" w:right="1691" w:bottom="0" w:left="1785" w:header="0" w:footer="0" w:gutter="0"/>
          <w:cols w:space="720" w:num="1"/>
        </w:sectPr>
      </w:pPr>
    </w:p>
    <w:p w14:paraId="3C8BEE62">
      <w:pPr>
        <w:spacing w:line="273" w:lineRule="auto"/>
        <w:rPr>
          <w:rFonts w:ascii="Arial"/>
          <w:sz w:val="21"/>
        </w:rPr>
      </w:pPr>
    </w:p>
    <w:p w14:paraId="463BE5F0">
      <w:pPr>
        <w:spacing w:line="274" w:lineRule="auto"/>
        <w:rPr>
          <w:rFonts w:ascii="Arial"/>
          <w:sz w:val="21"/>
        </w:rPr>
      </w:pPr>
    </w:p>
    <w:p w14:paraId="3101586B">
      <w:pPr>
        <w:spacing w:line="274" w:lineRule="auto"/>
        <w:rPr>
          <w:rFonts w:ascii="Arial"/>
          <w:sz w:val="21"/>
        </w:rPr>
      </w:pPr>
    </w:p>
    <w:p w14:paraId="4298344B">
      <w:pPr>
        <w:spacing w:line="274" w:lineRule="auto"/>
        <w:rPr>
          <w:rFonts w:ascii="Arial"/>
          <w:sz w:val="21"/>
        </w:rPr>
      </w:pPr>
    </w:p>
    <w:p w14:paraId="4B3EEE43">
      <w:pPr>
        <w:pStyle w:val="2"/>
        <w:spacing w:before="120" w:line="311" w:lineRule="auto"/>
        <w:ind w:left="28" w:right="271" w:firstLine="547"/>
      </w:pPr>
      <w:r>
        <w:rPr>
          <w:color w:val="666666"/>
          <w:spacing w:val="-2"/>
        </w:rPr>
        <w:t>我市累计艾滋病感染者和病人 1493 人，死亡 601 人，现存活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4"/>
        </w:rPr>
        <w:t xml:space="preserve">889 人，失访 3 人；本年新发 87 人，本地检出 </w:t>
      </w:r>
      <w:r>
        <w:rPr>
          <w:color w:val="666666"/>
          <w:spacing w:val="-5"/>
        </w:rPr>
        <w:t>74 人，外地检出、</w:t>
      </w:r>
    </w:p>
    <w:p w14:paraId="4D7D7692">
      <w:pPr>
        <w:pStyle w:val="2"/>
        <w:spacing w:before="8" w:line="309" w:lineRule="auto"/>
        <w:ind w:left="16" w:firstLine="1"/>
      </w:pPr>
      <w:r>
        <w:rPr>
          <w:color w:val="666666"/>
          <w:spacing w:val="-5"/>
        </w:rPr>
        <w:t>转入 13 人，经性途径传播为主的 84 人，其中异性性传播 81 人，占</w:t>
      </w:r>
      <w:r>
        <w:rPr>
          <w:color w:val="666666"/>
          <w:spacing w:val="1"/>
        </w:rPr>
        <w:t xml:space="preserve">   </w:t>
      </w:r>
      <w:r>
        <w:rPr>
          <w:color w:val="666666"/>
          <w:spacing w:val="-1"/>
        </w:rPr>
        <w:t>96.4%，同性性传播 3 人占 4.20%；无注射毒品、母婴</w:t>
      </w:r>
      <w:r>
        <w:rPr>
          <w:color w:val="666666"/>
          <w:spacing w:val="-2"/>
        </w:rPr>
        <w:t>传播。VCT</w:t>
      </w:r>
      <w:r>
        <w:rPr>
          <w:color w:val="666666"/>
        </w:rPr>
        <w:t xml:space="preserve">     </w:t>
      </w:r>
      <w:r>
        <w:rPr>
          <w:color w:val="666666"/>
          <w:spacing w:val="-2"/>
        </w:rPr>
        <w:t>咨询检测 941 人，HIV 阳性 16 人，梅</w:t>
      </w:r>
      <w:r>
        <w:rPr>
          <w:color w:val="666666"/>
          <w:spacing w:val="-3"/>
        </w:rPr>
        <w:t>毒、丙肝检测 969 人，梅毒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阳性 1 人；在押人员共检测 438 人、</w:t>
      </w:r>
      <w:r>
        <w:rPr>
          <w:color w:val="666666"/>
          <w:spacing w:val="-55"/>
        </w:rPr>
        <w:t xml:space="preserve"> </w:t>
      </w:r>
      <w:r>
        <w:rPr>
          <w:color w:val="666666"/>
          <w:spacing w:val="-3"/>
        </w:rPr>
        <w:t>HIV 阳性 1 人；性</w:t>
      </w:r>
      <w:r>
        <w:rPr>
          <w:color w:val="666666"/>
          <w:spacing w:val="-4"/>
        </w:rPr>
        <w:t>服务人员检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测 582 人，无 HIV 阳性，梅毒阳性 1 人，丙肝阳性 1 人；吸毒人员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2"/>
        </w:rPr>
        <w:t>检测 8 人，阳性 1 人。对城内公共场所开展调查、宣传、干预，通</w:t>
      </w:r>
      <w:r>
        <w:rPr>
          <w:color w:val="666666"/>
          <w:spacing w:val="2"/>
        </w:rPr>
        <w:t xml:space="preserve">    </w:t>
      </w:r>
      <w:r>
        <w:rPr>
          <w:color w:val="666666"/>
          <w:spacing w:val="-1"/>
        </w:rPr>
        <w:t>过现场询问、发宣传资料、面对面解答等形式，走进宾馆 71 家、会</w:t>
      </w:r>
      <w:r>
        <w:rPr>
          <w:color w:val="666666"/>
        </w:rPr>
        <w:t xml:space="preserve">   </w:t>
      </w:r>
      <w:r>
        <w:rPr>
          <w:color w:val="666666"/>
          <w:spacing w:val="-4"/>
        </w:rPr>
        <w:t>所 2 家、美容美发 9 家、</w:t>
      </w:r>
      <w:r>
        <w:rPr>
          <w:color w:val="666666"/>
          <w:spacing w:val="-45"/>
        </w:rPr>
        <w:t xml:space="preserve"> </w:t>
      </w:r>
      <w:r>
        <w:rPr>
          <w:color w:val="666666"/>
          <w:spacing w:val="-4"/>
        </w:rPr>
        <w:t>KTV3 家、足浴 46 家、其它路边店 33 家，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 xml:space="preserve">共面对面宣传 2064 人，采血 582 人份、发放安全套 22680 </w:t>
      </w:r>
      <w:r>
        <w:rPr>
          <w:color w:val="666666"/>
          <w:spacing w:val="-3"/>
        </w:rPr>
        <w:t>只、宣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传牌 600 张，有效提高了各从业人员艾滋病防治知识知晓率。年内</w:t>
      </w:r>
      <w:r>
        <w:rPr>
          <w:color w:val="666666"/>
          <w:spacing w:val="1"/>
        </w:rPr>
        <w:t xml:space="preserve">    </w:t>
      </w:r>
      <w:r>
        <w:rPr>
          <w:color w:val="666666"/>
          <w:spacing w:val="-5"/>
        </w:rPr>
        <w:t>对 23 名遗孤、12 户特困家庭，700 多个在治病人开展慰问，共送去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慰问金 115000 元。</w:t>
      </w:r>
    </w:p>
    <w:p w14:paraId="41A2DC16">
      <w:pPr>
        <w:pStyle w:val="2"/>
        <w:tabs>
          <w:tab w:val="left" w:pos="8472"/>
        </w:tabs>
        <w:spacing w:before="111" w:line="311" w:lineRule="auto"/>
        <w:ind w:left="16" w:firstLine="563"/>
        <w:jc w:val="both"/>
      </w:pPr>
      <w:r>
        <w:rPr>
          <w:color w:val="666666"/>
          <w:spacing w:val="-1"/>
        </w:rPr>
        <w:t>非结防机构有效报告(疑似)肺结核患者 1145 例，转诊和追踪到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位 1099 例，总体到位率 95.98%。（省市标准为≧95%）</w:t>
      </w:r>
      <w:r>
        <w:rPr>
          <w:color w:val="666666"/>
          <w:spacing w:val="-2"/>
        </w:rPr>
        <w:t>。共发现</w:t>
      </w:r>
      <w:r>
        <w:tab/>
      </w:r>
      <w:r>
        <w:rPr>
          <w:color w:val="666666"/>
        </w:rPr>
        <w:t xml:space="preserve"> </w:t>
      </w:r>
      <w:r>
        <w:rPr>
          <w:color w:val="666666"/>
          <w:spacing w:val="-2"/>
        </w:rPr>
        <w:t>活动性肺结核 821 例，其中新阳 468 例、复阳 38 例</w:t>
      </w:r>
      <w:r>
        <w:rPr>
          <w:color w:val="666666"/>
          <w:spacing w:val="-3"/>
        </w:rPr>
        <w:t>、病原学阴性</w:t>
      </w:r>
      <w:r>
        <w:tab/>
      </w:r>
      <w:r>
        <w:rPr>
          <w:color w:val="666666"/>
        </w:rPr>
        <w:t xml:space="preserve"> </w:t>
      </w:r>
      <w:r>
        <w:rPr>
          <w:color w:val="666666"/>
          <w:spacing w:val="-4"/>
        </w:rPr>
        <w:t>277 例，结核性胸膜炎 27 例。病原学阳性率 64.59%（省市标准为≧</w:t>
      </w:r>
      <w:r>
        <w:rPr>
          <w:color w:val="666666"/>
          <w:spacing w:val="5"/>
        </w:rPr>
        <w:t xml:space="preserve">   </w:t>
      </w:r>
      <w:r>
        <w:rPr>
          <w:color w:val="666666"/>
          <w:spacing w:val="-6"/>
        </w:rPr>
        <w:t>50%）。活动性肺结核患者治疗成功率 93.</w:t>
      </w:r>
      <w:r>
        <w:rPr>
          <w:color w:val="666666"/>
          <w:spacing w:val="-7"/>
        </w:rPr>
        <w:t>79%（省市标准为≧90%</w:t>
      </w:r>
      <w:r>
        <w:rPr>
          <w:color w:val="666666"/>
          <w:spacing w:val="-63"/>
        </w:rPr>
        <w:t>），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1"/>
        </w:rPr>
        <w:t>病原学阳性肺结核耐药筛查率 92.89%（省市标准为≧90%</w:t>
      </w:r>
      <w:r>
        <w:rPr>
          <w:color w:val="666666"/>
          <w:spacing w:val="8"/>
        </w:rPr>
        <w:t>），</w:t>
      </w:r>
      <w:r>
        <w:rPr>
          <w:color w:val="666666"/>
          <w:spacing w:val="-1"/>
        </w:rPr>
        <w:t>耐多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药肺结核可疑者耐药筛查率 97.87%（省市标准为≧95%</w:t>
      </w:r>
      <w:r>
        <w:rPr>
          <w:color w:val="666666"/>
          <w:spacing w:val="8"/>
        </w:rPr>
        <w:t>），</w:t>
      </w:r>
      <w:r>
        <w:rPr>
          <w:color w:val="666666"/>
          <w:spacing w:val="-1"/>
        </w:rPr>
        <w:t>耐利福</w:t>
      </w:r>
      <w:r>
        <w:rPr>
          <w:color w:val="666666"/>
        </w:rPr>
        <w:t xml:space="preserve">    </w:t>
      </w:r>
      <w:r>
        <w:rPr>
          <w:color w:val="666666"/>
          <w:spacing w:val="-4"/>
        </w:rPr>
        <w:t>平患者纳入治疗率 100%（省市标准为≧75%）。202</w:t>
      </w:r>
      <w:r>
        <w:rPr>
          <w:color w:val="666666"/>
          <w:spacing w:val="-5"/>
        </w:rPr>
        <w:t>2 年，对所有免</w:t>
      </w:r>
    </w:p>
    <w:p w14:paraId="073ACEC7">
      <w:pPr>
        <w:spacing w:line="311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7FB7BF3D">
      <w:pPr>
        <w:spacing w:line="276" w:lineRule="auto"/>
        <w:rPr>
          <w:rFonts w:ascii="Arial"/>
          <w:sz w:val="21"/>
        </w:rPr>
      </w:pPr>
    </w:p>
    <w:p w14:paraId="4B4D4E43">
      <w:pPr>
        <w:spacing w:line="277" w:lineRule="auto"/>
        <w:rPr>
          <w:rFonts w:ascii="Arial"/>
          <w:sz w:val="21"/>
        </w:rPr>
      </w:pPr>
    </w:p>
    <w:p w14:paraId="103A0006">
      <w:pPr>
        <w:spacing w:line="277" w:lineRule="auto"/>
        <w:rPr>
          <w:rFonts w:ascii="Arial"/>
          <w:sz w:val="21"/>
        </w:rPr>
      </w:pPr>
    </w:p>
    <w:p w14:paraId="584AD93E">
      <w:pPr>
        <w:spacing w:line="277" w:lineRule="auto"/>
        <w:rPr>
          <w:rFonts w:ascii="Arial"/>
          <w:sz w:val="21"/>
        </w:rPr>
      </w:pPr>
    </w:p>
    <w:p w14:paraId="387AA37B">
      <w:pPr>
        <w:pStyle w:val="2"/>
        <w:spacing w:before="120" w:line="309" w:lineRule="auto"/>
        <w:ind w:left="16" w:firstLine="1"/>
      </w:pPr>
      <w:r>
        <w:rPr>
          <w:color w:val="666666"/>
          <w:spacing w:val="-3"/>
        </w:rPr>
        <w:t>费治疗的涂阳肺结核病人均实行了全程督导与管理</w:t>
      </w:r>
      <w:r>
        <w:rPr>
          <w:color w:val="666666"/>
          <w:spacing w:val="-4"/>
        </w:rPr>
        <w:t>，DOTS 覆盖率达</w:t>
      </w:r>
      <w:r>
        <w:rPr>
          <w:color w:val="666666"/>
        </w:rPr>
        <w:t xml:space="preserve">   100%。加大了对市直各医疗机构结核病网络专报的管理和</w:t>
      </w:r>
      <w:r>
        <w:rPr>
          <w:color w:val="666666"/>
          <w:spacing w:val="-1"/>
        </w:rPr>
        <w:t>督查，网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报率达 100%，病人追踪率达 100%。对高中、九年义务教育学校、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1"/>
        </w:rPr>
        <w:t>幼儿园开展了入学新生肺结核筛查，共筛查 363 所各类学校、托幼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 xml:space="preserve">机构 39759 名学生，学校筛查率和学生筛查率均为 </w:t>
      </w:r>
      <w:r>
        <w:rPr>
          <w:color w:val="666666"/>
          <w:spacing w:val="-2"/>
        </w:rPr>
        <w:t>100%。通过筛</w:t>
      </w:r>
      <w:r>
        <w:rPr>
          <w:color w:val="666666"/>
        </w:rPr>
        <w:t xml:space="preserve">    </w:t>
      </w:r>
      <w:r>
        <w:rPr>
          <w:color w:val="666666"/>
          <w:spacing w:val="-5"/>
        </w:rPr>
        <w:t>查及定点医院复查，发现学生肺结核病例 6 例，所有病例已立即采取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7"/>
        </w:rPr>
        <w:t>休学管理，督促各相关学校采取了消毒、通风、健康教</w:t>
      </w:r>
      <w:r>
        <w:rPr>
          <w:color w:val="666666"/>
          <w:spacing w:val="-8"/>
        </w:rPr>
        <w:t>育等防控措施，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有效发挥了入学新生肺结核筛查工作的作用，防范</w:t>
      </w:r>
      <w:r>
        <w:rPr>
          <w:color w:val="666666"/>
          <w:spacing w:val="-4"/>
        </w:rPr>
        <w:t>了学生肺结核聚集</w:t>
      </w:r>
      <w:r>
        <w:rPr>
          <w:color w:val="666666"/>
        </w:rPr>
        <w:t xml:space="preserve">   </w:t>
      </w:r>
      <w:r>
        <w:rPr>
          <w:color w:val="666666"/>
          <w:spacing w:val="-3"/>
        </w:rPr>
        <w:t>性疫情的发生。同时多形式开展结核病防治宣传教</w:t>
      </w:r>
      <w:r>
        <w:rPr>
          <w:color w:val="666666"/>
          <w:spacing w:val="-4"/>
        </w:rPr>
        <w:t>育活动，提高居民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防治知识知晓率，2022 年 8 月，中国</w:t>
      </w:r>
      <w:r>
        <w:rPr>
          <w:color w:val="666666"/>
          <w:spacing w:val="-2"/>
        </w:rPr>
        <w:t>疾控中心将祁阳龙山街道纳入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全国创建无结核社区项目点。</w:t>
      </w:r>
    </w:p>
    <w:p w14:paraId="0A9F6833">
      <w:pPr>
        <w:pStyle w:val="2"/>
        <w:spacing w:before="100" w:line="313" w:lineRule="auto"/>
        <w:ind w:left="17" w:right="153" w:firstLine="565"/>
        <w:jc w:val="both"/>
      </w:pPr>
      <w:r>
        <w:rPr>
          <w:color w:val="666666"/>
          <w:spacing w:val="-1"/>
        </w:rPr>
        <w:t>强化了 AFP、AEFI、乙脑、流脑监测工作。对市直医院每月三</w:t>
      </w:r>
      <w:r>
        <w:rPr>
          <w:color w:val="666666"/>
          <w:spacing w:val="4"/>
        </w:rPr>
        <w:t xml:space="preserve">  </w:t>
      </w:r>
      <w:r>
        <w:rPr>
          <w:color w:val="666666"/>
          <w:spacing w:val="-2"/>
        </w:rPr>
        <w:t>次主动监测，共报告 4 例 AFP 病例，现已完成随访；无乙脑、流脑</w:t>
      </w:r>
      <w:r>
        <w:rPr>
          <w:color w:val="666666"/>
          <w:spacing w:val="6"/>
        </w:rPr>
        <w:t xml:space="preserve">  </w:t>
      </w:r>
      <w:r>
        <w:rPr>
          <w:color w:val="666666"/>
          <w:spacing w:val="-4"/>
        </w:rPr>
        <w:t>报告病例。共报告疑似预防接种异常反应（AEFI）161 例，无严重的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-2"/>
        </w:rPr>
        <w:t>AEFI 和群体性 AEFI 报告，48 小时报告率 100%，三日内调查表报</w:t>
      </w:r>
      <w:r>
        <w:rPr>
          <w:color w:val="666666"/>
          <w:spacing w:val="6"/>
        </w:rPr>
        <w:t xml:space="preserve">  </w:t>
      </w:r>
      <w:r>
        <w:rPr>
          <w:color w:val="666666"/>
          <w:spacing w:val="-1"/>
        </w:rPr>
        <w:t>告率 100%，调查报告上传率 100%，乡镇覆盖</w:t>
      </w:r>
      <w:r>
        <w:rPr>
          <w:color w:val="666666"/>
          <w:spacing w:val="-2"/>
        </w:rPr>
        <w:t>率 100%%。</w:t>
      </w:r>
    </w:p>
    <w:p w14:paraId="4266722B">
      <w:pPr>
        <w:pStyle w:val="2"/>
        <w:spacing w:before="92" w:line="312" w:lineRule="auto"/>
        <w:ind w:left="17" w:right="70" w:firstLine="558"/>
        <w:jc w:val="both"/>
      </w:pPr>
      <w:r>
        <w:rPr>
          <w:color w:val="666666"/>
          <w:spacing w:val="-2"/>
        </w:rPr>
        <w:t>公共卫生监测工，按照《</w:t>
      </w:r>
      <w:r>
        <w:rPr>
          <w:color w:val="666666"/>
          <w:spacing w:val="-39"/>
        </w:rPr>
        <w:t xml:space="preserve"> </w:t>
      </w:r>
      <w:r>
        <w:rPr>
          <w:color w:val="666666"/>
          <w:spacing w:val="-2"/>
        </w:rPr>
        <w:t>2022 年永州市食品安全风险监测方案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实施细则》要求，圆满完成食品安全风险监测工</w:t>
      </w:r>
      <w:r>
        <w:rPr>
          <w:color w:val="666666"/>
          <w:spacing w:val="-4"/>
        </w:rPr>
        <w:t>作，所有样品均符合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卫生学要求；共对 1595 例食源性疾病进行网络审核并上报，共处理</w:t>
      </w:r>
      <w:r>
        <w:rPr>
          <w:color w:val="666666"/>
          <w:spacing w:val="9"/>
        </w:rPr>
        <w:t xml:space="preserve">  </w:t>
      </w:r>
      <w:r>
        <w:rPr>
          <w:color w:val="666666"/>
          <w:spacing w:val="-3"/>
        </w:rPr>
        <w:t>胃肠炎型野生蘑菇中毒事件 9 起，其中食用</w:t>
      </w:r>
      <w:r>
        <w:rPr>
          <w:color w:val="666666"/>
          <w:spacing w:val="-4"/>
        </w:rPr>
        <w:t>野生灰花纹鹅膏菌 2 起、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其他菌 7 起，无死亡病例发生；处理 6 起食源性聚集性事件，均为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1"/>
        </w:rPr>
        <w:t>细菌性食物中毒事件。</w:t>
      </w:r>
      <w:r>
        <w:rPr>
          <w:color w:val="666666"/>
          <w:spacing w:val="-57"/>
        </w:rPr>
        <w:t xml:space="preserve"> </w:t>
      </w:r>
      <w:r>
        <w:rPr>
          <w:color w:val="666666"/>
          <w:spacing w:val="-1"/>
        </w:rPr>
        <w:t>1-12 月收集哨点医</w:t>
      </w:r>
      <w:r>
        <w:rPr>
          <w:color w:val="666666"/>
          <w:spacing w:val="-2"/>
        </w:rPr>
        <w:t>院祁阳市人民医院主动监</w:t>
      </w:r>
    </w:p>
    <w:p w14:paraId="086C7E9D">
      <w:pPr>
        <w:spacing w:line="312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51EB4371">
      <w:pPr>
        <w:spacing w:line="274" w:lineRule="auto"/>
        <w:rPr>
          <w:rFonts w:ascii="Arial"/>
          <w:sz w:val="21"/>
        </w:rPr>
      </w:pPr>
    </w:p>
    <w:p w14:paraId="20BF91A2">
      <w:pPr>
        <w:spacing w:line="274" w:lineRule="auto"/>
        <w:rPr>
          <w:rFonts w:ascii="Arial"/>
          <w:sz w:val="21"/>
        </w:rPr>
      </w:pPr>
    </w:p>
    <w:p w14:paraId="1B7363C6">
      <w:pPr>
        <w:spacing w:line="274" w:lineRule="auto"/>
        <w:rPr>
          <w:rFonts w:ascii="Arial"/>
          <w:sz w:val="21"/>
        </w:rPr>
      </w:pPr>
    </w:p>
    <w:p w14:paraId="401DF034">
      <w:pPr>
        <w:spacing w:line="274" w:lineRule="auto"/>
        <w:rPr>
          <w:rFonts w:ascii="Arial"/>
          <w:sz w:val="21"/>
        </w:rPr>
      </w:pPr>
    </w:p>
    <w:p w14:paraId="14A0B8EE">
      <w:pPr>
        <w:pStyle w:val="2"/>
        <w:spacing w:before="120" w:line="184" w:lineRule="auto"/>
        <w:ind w:left="16"/>
      </w:pPr>
      <w:r>
        <w:rPr>
          <w:color w:val="666666"/>
          <w:spacing w:val="-1"/>
        </w:rPr>
        <w:t>测的疑似腹泻病人的粪便样品 124 份，其中检出诺如病毒阳性样品</w:t>
      </w:r>
    </w:p>
    <w:p w14:paraId="5B50697D">
      <w:pPr>
        <w:pStyle w:val="2"/>
        <w:spacing w:before="203" w:line="226" w:lineRule="auto"/>
        <w:ind w:left="28"/>
      </w:pPr>
      <w:r>
        <w:rPr>
          <w:color w:val="666666"/>
          <w:spacing w:val="-3"/>
        </w:rPr>
        <w:t>26 份，检出率为 20.97%。</w:t>
      </w:r>
    </w:p>
    <w:p w14:paraId="7915FB5D">
      <w:pPr>
        <w:pStyle w:val="2"/>
        <w:spacing w:before="328" w:line="184" w:lineRule="auto"/>
        <w:ind w:left="587"/>
      </w:pPr>
      <w:r>
        <w:rPr>
          <w:color w:val="666666"/>
          <w:spacing w:val="-2"/>
        </w:rPr>
        <w:t>2、主要绩效及评价结论</w:t>
      </w:r>
    </w:p>
    <w:p w14:paraId="5B20138F">
      <w:pPr>
        <w:rPr>
          <w:rFonts w:ascii="Arial"/>
          <w:sz w:val="21"/>
        </w:rPr>
      </w:pPr>
    </w:p>
    <w:p w14:paraId="7DEFB3F1">
      <w:pPr>
        <w:pStyle w:val="2"/>
        <w:spacing w:before="121" w:line="311" w:lineRule="auto"/>
        <w:ind w:left="17" w:right="13" w:firstLine="712"/>
        <w:jc w:val="both"/>
      </w:pPr>
      <w:r>
        <w:rPr>
          <w:color w:val="666666"/>
          <w:spacing w:val="-5"/>
        </w:rPr>
        <w:t>2022 年部门整体支出绩效自评结果显示，我单位绩效管理情况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较为理想，达到了年初设定的各项绩效目标。所有</w:t>
      </w:r>
      <w:r>
        <w:rPr>
          <w:color w:val="666666"/>
          <w:spacing w:val="-4"/>
        </w:rPr>
        <w:t>资金使用严格按审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批程序办理、操作规范，会计核算结果真实、准确</w:t>
      </w:r>
      <w:r>
        <w:rPr>
          <w:color w:val="666666"/>
          <w:spacing w:val="-4"/>
        </w:rPr>
        <w:t>，各项支出严格按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照各项制度执行，按照部门整体支出绩效评价指标</w:t>
      </w:r>
      <w:r>
        <w:rPr>
          <w:color w:val="666666"/>
          <w:spacing w:val="-4"/>
        </w:rPr>
        <w:t>体系对照打分得出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结果为 95 分，等级为优秀。</w:t>
      </w:r>
    </w:p>
    <w:p w14:paraId="61BD33F7">
      <w:pPr>
        <w:pStyle w:val="2"/>
        <w:spacing w:before="110" w:line="184" w:lineRule="auto"/>
        <w:ind w:left="592"/>
      </w:pPr>
      <w:r>
        <w:rPr>
          <w:color w:val="666666"/>
          <w:spacing w:val="-2"/>
        </w:rPr>
        <w:t>3、绩效评价结果公开情况</w:t>
      </w:r>
    </w:p>
    <w:p w14:paraId="50F3EBBD">
      <w:pPr>
        <w:pStyle w:val="2"/>
        <w:spacing w:before="307" w:line="312" w:lineRule="auto"/>
        <w:ind w:left="31" w:right="13" w:firstLine="545"/>
      </w:pPr>
      <w:r>
        <w:rPr>
          <w:color w:val="666666"/>
        </w:rPr>
        <w:t>根据《中华人民共和国政府信息公开条例》和财政局</w:t>
      </w:r>
      <w:r>
        <w:rPr>
          <w:color w:val="666666"/>
          <w:spacing w:val="-1"/>
        </w:rPr>
        <w:t>相关要求,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除涉密事项外，我局 2022 年度部门整体支出绩效自评报告将在政府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-2"/>
        </w:rPr>
        <w:t>网站上向社会公开，接受社会监督。</w:t>
      </w:r>
    </w:p>
    <w:p w14:paraId="7391B78D">
      <w:pPr>
        <w:spacing w:line="312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570B9813">
      <w:pPr>
        <w:spacing w:line="274" w:lineRule="auto"/>
        <w:rPr>
          <w:rFonts w:ascii="Arial"/>
          <w:sz w:val="21"/>
        </w:rPr>
      </w:pPr>
    </w:p>
    <w:p w14:paraId="0F25CD3F">
      <w:pPr>
        <w:spacing w:line="275" w:lineRule="auto"/>
        <w:rPr>
          <w:rFonts w:ascii="Arial"/>
          <w:sz w:val="21"/>
        </w:rPr>
      </w:pPr>
    </w:p>
    <w:p w14:paraId="0DF3E059">
      <w:pPr>
        <w:spacing w:line="275" w:lineRule="auto"/>
        <w:rPr>
          <w:rFonts w:ascii="Arial"/>
          <w:sz w:val="21"/>
        </w:rPr>
      </w:pPr>
    </w:p>
    <w:p w14:paraId="4AC959EB">
      <w:pPr>
        <w:spacing w:line="275" w:lineRule="auto"/>
        <w:rPr>
          <w:rFonts w:ascii="Arial"/>
          <w:sz w:val="21"/>
        </w:rPr>
      </w:pPr>
    </w:p>
    <w:p w14:paraId="7171986F">
      <w:pPr>
        <w:pStyle w:val="2"/>
        <w:spacing w:before="120" w:line="274" w:lineRule="auto"/>
        <w:ind w:left="3822" w:right="3395" w:hanging="3"/>
        <w:outlineLvl w:val="0"/>
      </w:pPr>
      <w:r>
        <w:rPr>
          <w:b/>
          <w:bCs/>
          <w:color w:val="666666"/>
          <w:spacing w:val="-3"/>
        </w:rPr>
        <w:t>第四部分</w:t>
      </w:r>
      <w:r>
        <w:rPr>
          <w:color w:val="666666"/>
        </w:rPr>
        <w:t xml:space="preserve"> </w:t>
      </w:r>
      <w:r>
        <w:rPr>
          <w:b/>
          <w:bCs/>
          <w:color w:val="666666"/>
          <w:spacing w:val="-4"/>
        </w:rPr>
        <w:t>名词解释</w:t>
      </w:r>
    </w:p>
    <w:p w14:paraId="3DA834D7">
      <w:pPr>
        <w:pStyle w:val="2"/>
        <w:spacing w:before="303" w:line="225" w:lineRule="auto"/>
        <w:ind w:left="682"/>
        <w:outlineLvl w:val="2"/>
      </w:pPr>
      <w:r>
        <w:rPr>
          <w:b/>
          <w:bCs/>
          <w:color w:val="666666"/>
          <w:spacing w:val="1"/>
        </w:rPr>
        <w:t>（一）收入科目</w:t>
      </w:r>
    </w:p>
    <w:p w14:paraId="180D0806">
      <w:pPr>
        <w:pStyle w:val="2"/>
        <w:spacing w:before="333" w:line="184" w:lineRule="auto"/>
        <w:ind w:left="598"/>
      </w:pPr>
      <w:r>
        <w:rPr>
          <w:color w:val="666666"/>
          <w:spacing w:val="-2"/>
        </w:rPr>
        <w:t>1、财政拨款收入：指财政当年拨付的资金。</w:t>
      </w:r>
    </w:p>
    <w:p w14:paraId="64540692">
      <w:pPr>
        <w:pStyle w:val="2"/>
        <w:spacing w:before="359" w:line="311" w:lineRule="auto"/>
        <w:ind w:left="24" w:right="35" w:firstLine="563"/>
      </w:pPr>
      <w:r>
        <w:rPr>
          <w:color w:val="666666"/>
          <w:spacing w:val="-1"/>
        </w:rPr>
        <w:t>2、事业收入：指事业单位开展专业业务活动及辅助活动取得的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3"/>
        </w:rPr>
        <w:t>收入。</w:t>
      </w:r>
    </w:p>
    <w:p w14:paraId="72C287E4">
      <w:pPr>
        <w:pStyle w:val="2"/>
        <w:spacing w:before="110" w:line="248" w:lineRule="auto"/>
        <w:ind w:left="18" w:right="35" w:firstLine="574"/>
      </w:pPr>
      <w:r>
        <w:rPr>
          <w:color w:val="666666"/>
          <w:spacing w:val="-1"/>
        </w:rPr>
        <w:t>3、经营收入：指事业单位在专业业务活动及其辅助活动之外开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1"/>
        </w:rPr>
        <w:t>展非独立核算经营活动取得的收入。</w:t>
      </w:r>
    </w:p>
    <w:p w14:paraId="32E86625">
      <w:pPr>
        <w:spacing w:line="241" w:lineRule="auto"/>
        <w:rPr>
          <w:rFonts w:ascii="Arial"/>
          <w:sz w:val="21"/>
        </w:rPr>
      </w:pPr>
    </w:p>
    <w:p w14:paraId="00B2F8F0">
      <w:pPr>
        <w:pStyle w:val="2"/>
        <w:spacing w:before="120" w:line="183" w:lineRule="auto"/>
        <w:ind w:right="13"/>
        <w:jc w:val="right"/>
      </w:pPr>
      <w:r>
        <w:rPr>
          <w:color w:val="666666"/>
          <w:spacing w:val="-9"/>
        </w:rPr>
        <w:t>4、其他收入：指除上述“财政拨款收入”、“事业收入”、“经</w:t>
      </w:r>
    </w:p>
    <w:p w14:paraId="4EDED69D">
      <w:pPr>
        <w:pStyle w:val="2"/>
        <w:spacing w:before="257" w:line="183" w:lineRule="auto"/>
        <w:ind w:left="20"/>
      </w:pPr>
      <w:r>
        <w:rPr>
          <w:color w:val="666666"/>
          <w:spacing w:val="-1"/>
        </w:rPr>
        <w:t>营收入”等以外的收入。</w:t>
      </w:r>
    </w:p>
    <w:p w14:paraId="7BB7754D">
      <w:pPr>
        <w:pStyle w:val="2"/>
        <w:spacing w:before="361" w:line="286" w:lineRule="auto"/>
        <w:ind w:left="18" w:right="13" w:firstLine="578"/>
      </w:pPr>
      <w:r>
        <w:rPr>
          <w:color w:val="666666"/>
          <w:spacing w:val="-1"/>
        </w:rPr>
        <w:t>5、用事业基金弥补收支差额：指事业单位在当年的“财政拨款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-3"/>
        </w:rPr>
        <w:t>收入”、“事业收入”、“经营收入”、“其</w:t>
      </w:r>
      <w:r>
        <w:rPr>
          <w:color w:val="666666"/>
          <w:spacing w:val="-4"/>
        </w:rPr>
        <w:t>他收入”不足以安排当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年支出的情况下，使用以前年积累的事业基金</w:t>
      </w:r>
      <w:r>
        <w:rPr>
          <w:color w:val="666666"/>
          <w:spacing w:val="-4"/>
        </w:rPr>
        <w:t>（事业单位当年收支相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抵后按国家规定提取、用于弥补以后年收支差</w:t>
      </w:r>
      <w:r>
        <w:rPr>
          <w:color w:val="666666"/>
          <w:spacing w:val="-4"/>
        </w:rPr>
        <w:t>额的基金）弥补本年收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支缺口的资金。</w:t>
      </w:r>
    </w:p>
    <w:p w14:paraId="2CEB3541">
      <w:pPr>
        <w:pStyle w:val="2"/>
        <w:spacing w:before="361" w:line="248" w:lineRule="auto"/>
        <w:ind w:left="18" w:right="35" w:firstLine="571"/>
      </w:pPr>
      <w:r>
        <w:rPr>
          <w:color w:val="666666"/>
          <w:spacing w:val="-1"/>
        </w:rPr>
        <w:t>6、上年结转：指以前年尚未完成、结转到本年按有关规定继续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1"/>
        </w:rPr>
        <w:t>使用的资金。</w:t>
      </w:r>
    </w:p>
    <w:p w14:paraId="32BDDA96">
      <w:pPr>
        <w:pStyle w:val="2"/>
        <w:spacing w:before="304" w:line="225" w:lineRule="auto"/>
        <w:ind w:left="541"/>
        <w:outlineLvl w:val="2"/>
      </w:pPr>
      <w:r>
        <w:rPr>
          <w:b/>
          <w:bCs/>
          <w:color w:val="666666"/>
          <w:spacing w:val="-5"/>
        </w:rPr>
        <w:t>（</w:t>
      </w:r>
      <w:r>
        <w:rPr>
          <w:color w:val="666666"/>
          <w:spacing w:val="-37"/>
        </w:rPr>
        <w:t xml:space="preserve"> </w:t>
      </w:r>
      <w:r>
        <w:rPr>
          <w:b/>
          <w:bCs/>
          <w:color w:val="666666"/>
          <w:spacing w:val="-5"/>
        </w:rPr>
        <w:t>二）支出科目</w:t>
      </w:r>
    </w:p>
    <w:p w14:paraId="7A35E114">
      <w:pPr>
        <w:pStyle w:val="2"/>
        <w:spacing w:before="335" w:line="311" w:lineRule="auto"/>
        <w:ind w:left="17" w:right="35" w:firstLine="580"/>
      </w:pPr>
      <w:r>
        <w:rPr>
          <w:color w:val="666666"/>
          <w:spacing w:val="-1"/>
        </w:rPr>
        <w:t>1、基本支出：是为保障其机构正常运转、完成日常工作任务而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-1"/>
        </w:rPr>
        <w:t>发生人员支出和公用支出。</w:t>
      </w:r>
    </w:p>
    <w:p w14:paraId="76BEB093">
      <w:pPr>
        <w:spacing w:line="311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0CE3A968">
      <w:pPr>
        <w:spacing w:line="274" w:lineRule="auto"/>
        <w:rPr>
          <w:rFonts w:ascii="Arial"/>
          <w:sz w:val="21"/>
        </w:rPr>
      </w:pPr>
    </w:p>
    <w:p w14:paraId="45B0A98C">
      <w:pPr>
        <w:spacing w:line="274" w:lineRule="auto"/>
        <w:rPr>
          <w:rFonts w:ascii="Arial"/>
          <w:sz w:val="21"/>
        </w:rPr>
      </w:pPr>
    </w:p>
    <w:p w14:paraId="0C6BB5E0">
      <w:pPr>
        <w:spacing w:line="274" w:lineRule="auto"/>
        <w:rPr>
          <w:rFonts w:ascii="Arial"/>
          <w:sz w:val="21"/>
        </w:rPr>
      </w:pPr>
    </w:p>
    <w:p w14:paraId="13740AE8">
      <w:pPr>
        <w:spacing w:line="275" w:lineRule="auto"/>
        <w:rPr>
          <w:rFonts w:ascii="Arial"/>
          <w:sz w:val="21"/>
        </w:rPr>
      </w:pPr>
    </w:p>
    <w:p w14:paraId="4B458162">
      <w:pPr>
        <w:pStyle w:val="2"/>
        <w:spacing w:before="120" w:line="310" w:lineRule="auto"/>
        <w:ind w:left="18" w:right="104" w:firstLine="569"/>
      </w:pPr>
      <w:r>
        <w:rPr>
          <w:color w:val="666666"/>
          <w:spacing w:val="-1"/>
        </w:rPr>
        <w:t>2、项目支出：是指在基本支出之外完成特定行政任务和事业发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1"/>
        </w:rPr>
        <w:t>展目标所发生的支出。</w:t>
      </w:r>
    </w:p>
    <w:p w14:paraId="4A344FA4">
      <w:pPr>
        <w:pStyle w:val="2"/>
        <w:spacing w:before="111" w:line="248" w:lineRule="auto"/>
        <w:ind w:left="18" w:right="104" w:firstLine="574"/>
      </w:pPr>
      <w:r>
        <w:rPr>
          <w:color w:val="666666"/>
          <w:spacing w:val="-1"/>
        </w:rPr>
        <w:t>3、工资福利支出：反映单位开支的在职职工和编制外长期聘用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人员的各类劳动报酬，以及为上述人员缴纳的各项社会</w:t>
      </w:r>
      <w:r>
        <w:rPr>
          <w:color w:val="666666"/>
          <w:spacing w:val="-1"/>
        </w:rPr>
        <w:t>保险费等。</w:t>
      </w:r>
    </w:p>
    <w:p w14:paraId="3193A1D1">
      <w:pPr>
        <w:pStyle w:val="2"/>
        <w:spacing w:before="361" w:line="184" w:lineRule="auto"/>
        <w:ind w:left="575"/>
      </w:pPr>
      <w:r>
        <w:rPr>
          <w:color w:val="666666"/>
        </w:rPr>
        <w:t>4、商品和服务支出：反映单位购买商品和服务的支出。</w:t>
      </w:r>
    </w:p>
    <w:p w14:paraId="46D9EF5C">
      <w:pPr>
        <w:pStyle w:val="2"/>
        <w:spacing w:before="356" w:line="185" w:lineRule="auto"/>
        <w:ind w:left="597"/>
      </w:pPr>
      <w:r>
        <w:rPr>
          <w:color w:val="666666"/>
          <w:spacing w:val="-1"/>
        </w:rPr>
        <w:t>5、对个人和家庭的补助：反映单位用于对个人和家庭的补助支</w:t>
      </w:r>
    </w:p>
    <w:p w14:paraId="619A7EB4">
      <w:pPr>
        <w:pStyle w:val="2"/>
        <w:spacing w:before="263" w:line="180" w:lineRule="auto"/>
        <w:ind w:left="39"/>
      </w:pPr>
      <w:r>
        <w:rPr>
          <w:color w:val="666666"/>
          <w:spacing w:val="-13"/>
        </w:rPr>
        <w:t>出。</w:t>
      </w:r>
    </w:p>
    <w:p w14:paraId="1BF0D4C5">
      <w:pPr>
        <w:pStyle w:val="2"/>
        <w:spacing w:before="305" w:line="225" w:lineRule="auto"/>
        <w:ind w:left="541"/>
        <w:outlineLvl w:val="2"/>
      </w:pPr>
      <w:r>
        <w:rPr>
          <w:b/>
          <w:bCs/>
          <w:color w:val="666666"/>
        </w:rPr>
        <w:t>（三）“三公”经费科目</w:t>
      </w:r>
    </w:p>
    <w:p w14:paraId="5F554301">
      <w:pPr>
        <w:pStyle w:val="2"/>
        <w:spacing w:before="283" w:line="261" w:lineRule="auto"/>
        <w:ind w:left="34" w:firstLine="563"/>
      </w:pPr>
      <w:r>
        <w:rPr>
          <w:color w:val="666666"/>
          <w:spacing w:val="-7"/>
        </w:rPr>
        <w:t>1、因公出国（境）费用：反映单位公务出国（境）的国际旅费、</w:t>
      </w:r>
      <w:r>
        <w:rPr>
          <w:color w:val="666666"/>
          <w:spacing w:val="3"/>
        </w:rPr>
        <w:t xml:space="preserve"> </w:t>
      </w:r>
      <w:r>
        <w:rPr>
          <w:color w:val="666666"/>
          <w:spacing w:val="-1"/>
        </w:rPr>
        <w:t>国内城市间交通费、住宿费、伙食费、培训费、公杂费等支出。</w:t>
      </w:r>
    </w:p>
    <w:p w14:paraId="6B1CB623">
      <w:pPr>
        <w:pStyle w:val="2"/>
        <w:spacing w:before="308" w:line="267" w:lineRule="auto"/>
        <w:ind w:left="18" w:right="104" w:firstLine="569"/>
      </w:pPr>
      <w:r>
        <w:rPr>
          <w:color w:val="666666"/>
          <w:spacing w:val="-1"/>
        </w:rPr>
        <w:t>2、公务接待费：反映单位按规定开支的各类公务接待（含外宾</w:t>
      </w:r>
      <w:r>
        <w:rPr>
          <w:color w:val="666666"/>
          <w:spacing w:val="13"/>
        </w:rPr>
        <w:t xml:space="preserve"> </w:t>
      </w:r>
      <w:r>
        <w:rPr>
          <w:color w:val="666666"/>
          <w:spacing w:val="-1"/>
        </w:rPr>
        <w:t>接待）费用。</w:t>
      </w:r>
    </w:p>
    <w:p w14:paraId="73B1F87E">
      <w:pPr>
        <w:pStyle w:val="2"/>
        <w:spacing w:before="335" w:line="248" w:lineRule="auto"/>
        <w:ind w:left="17" w:right="160" w:firstLine="575"/>
      </w:pPr>
      <w:r>
        <w:rPr>
          <w:color w:val="666666"/>
          <w:spacing w:val="-3"/>
        </w:rPr>
        <w:t>3、公务用车运行维护费：反映单位公务用车租用费、燃料费、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维修费、过路过桥费、保险费、安全奖励费用等</w:t>
      </w:r>
      <w:r>
        <w:rPr>
          <w:color w:val="666666"/>
          <w:spacing w:val="-1"/>
        </w:rPr>
        <w:t>支出。</w:t>
      </w:r>
    </w:p>
    <w:p w14:paraId="6BB65291">
      <w:pPr>
        <w:spacing w:line="248" w:lineRule="auto"/>
        <w:sectPr>
          <w:pgSz w:w="11906" w:h="16839"/>
          <w:pgMar w:top="400" w:right="1716" w:bottom="0" w:left="1785" w:header="0" w:footer="0" w:gutter="0"/>
          <w:cols w:space="720" w:num="1"/>
        </w:sectPr>
      </w:pPr>
    </w:p>
    <w:p w14:paraId="79D98018">
      <w:pPr>
        <w:spacing w:line="274" w:lineRule="auto"/>
        <w:rPr>
          <w:rFonts w:ascii="Arial"/>
          <w:sz w:val="21"/>
        </w:rPr>
      </w:pPr>
    </w:p>
    <w:p w14:paraId="73EFD13C">
      <w:pPr>
        <w:spacing w:line="274" w:lineRule="auto"/>
        <w:rPr>
          <w:rFonts w:ascii="Arial"/>
          <w:sz w:val="21"/>
        </w:rPr>
      </w:pPr>
    </w:p>
    <w:p w14:paraId="3A90F66E">
      <w:pPr>
        <w:spacing w:line="275" w:lineRule="auto"/>
        <w:rPr>
          <w:rFonts w:ascii="Arial"/>
          <w:sz w:val="21"/>
        </w:rPr>
      </w:pPr>
    </w:p>
    <w:p w14:paraId="61582F10">
      <w:pPr>
        <w:spacing w:line="275" w:lineRule="auto"/>
        <w:rPr>
          <w:rFonts w:ascii="Arial"/>
          <w:sz w:val="21"/>
        </w:rPr>
      </w:pPr>
    </w:p>
    <w:p w14:paraId="3F1CD597">
      <w:pPr>
        <w:pStyle w:val="2"/>
        <w:spacing w:before="120" w:line="274" w:lineRule="auto"/>
        <w:ind w:left="4112" w:right="3395" w:hanging="293"/>
        <w:outlineLvl w:val="0"/>
      </w:pPr>
      <w:r>
        <w:rPr>
          <w:b/>
          <w:bCs/>
          <w:color w:val="666666"/>
          <w:spacing w:val="-3"/>
        </w:rPr>
        <w:t>第五部分</w:t>
      </w:r>
      <w:r>
        <w:rPr>
          <w:color w:val="666666"/>
        </w:rPr>
        <w:t xml:space="preserve"> </w:t>
      </w:r>
      <w:r>
        <w:rPr>
          <w:b/>
          <w:bCs/>
          <w:color w:val="666666"/>
          <w:spacing w:val="-5"/>
          <w:w w:val="98"/>
        </w:rPr>
        <w:t>附件</w:t>
      </w:r>
    </w:p>
    <w:p w14:paraId="63895FBA">
      <w:pPr>
        <w:pStyle w:val="2"/>
        <w:spacing w:before="361" w:line="184" w:lineRule="auto"/>
        <w:ind w:left="2192"/>
        <w:outlineLvl w:val="0"/>
      </w:pPr>
      <w:r>
        <w:rPr>
          <w:b/>
          <w:bCs/>
          <w:color w:val="666666"/>
          <w:spacing w:val="-3"/>
        </w:rPr>
        <w:t>2022</w:t>
      </w:r>
      <w:r>
        <w:rPr>
          <w:color w:val="666666"/>
          <w:spacing w:val="-3"/>
        </w:rPr>
        <w:t xml:space="preserve"> </w:t>
      </w:r>
      <w:r>
        <w:rPr>
          <w:b/>
          <w:bCs/>
          <w:color w:val="666666"/>
          <w:spacing w:val="-3"/>
        </w:rPr>
        <w:t>年部门整体支出绩效评价报告</w:t>
      </w:r>
    </w:p>
    <w:p w14:paraId="24BF7C6F">
      <w:pPr>
        <w:spacing w:line="241" w:lineRule="auto"/>
        <w:rPr>
          <w:rFonts w:ascii="Arial"/>
          <w:sz w:val="21"/>
        </w:rPr>
      </w:pPr>
    </w:p>
    <w:p w14:paraId="6C5994BB">
      <w:pPr>
        <w:pStyle w:val="2"/>
        <w:spacing w:before="120" w:line="307" w:lineRule="auto"/>
        <w:ind w:left="18" w:right="13" w:firstLine="564"/>
      </w:pPr>
      <w:r>
        <w:rPr>
          <w:color w:val="666666"/>
          <w:spacing w:val="-4"/>
        </w:rPr>
        <w:t>为进一步规范全市卫生健康系统财政资金管理，强化绩效和责任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3"/>
        </w:rPr>
        <w:t>意识，切实提髙财政资金使用效益，根据《中共</w:t>
      </w:r>
      <w:r>
        <w:rPr>
          <w:color w:val="666666"/>
          <w:spacing w:val="-4"/>
        </w:rPr>
        <w:t>中央国务院关于全面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实施预算绩效管理的意见》（中发[2018]34 号）、《中共湖南省委</w:t>
      </w:r>
      <w:r>
        <w:rPr>
          <w:color w:val="666666"/>
          <w:spacing w:val="7"/>
        </w:rPr>
        <w:t xml:space="preserve">  </w:t>
      </w:r>
      <w:r>
        <w:rPr>
          <w:color w:val="666666"/>
        </w:rPr>
        <w:t>办公厅湖南省人民政府办公厅关于全面实施预算绩效管理</w:t>
      </w:r>
      <w:r>
        <w:rPr>
          <w:color w:val="666666"/>
          <w:spacing w:val="-1"/>
        </w:rPr>
        <w:t>的实施意</w:t>
      </w:r>
      <w:r>
        <w:rPr>
          <w:color w:val="666666"/>
        </w:rPr>
        <w:t xml:space="preserve">   </w:t>
      </w:r>
      <w:r>
        <w:rPr>
          <w:color w:val="666666"/>
          <w:spacing w:val="-4"/>
        </w:rPr>
        <w:t>见》（湘办发[2019]10 号）要求，我局按照财政局《关于开展 2022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年度部门整体支出绩效评价工作的通知》（祁财绩函[2023]10 号）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-3"/>
        </w:rPr>
        <w:t>的通知，经局党组研究，在全系统开展 2022 年度部门整体支出绩效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3"/>
        </w:rPr>
        <w:t>评价工作。经相关业务股室全面综合评价，我局 2022 年度部门整体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支出绩效自评分为 95 分。现将有关情况报告如下：</w:t>
      </w:r>
    </w:p>
    <w:p w14:paraId="179EEF7D">
      <w:pPr>
        <w:pStyle w:val="2"/>
        <w:spacing w:before="188" w:line="183" w:lineRule="auto"/>
        <w:ind w:left="581"/>
        <w:outlineLvl w:val="1"/>
      </w:pPr>
      <w:r>
        <w:rPr>
          <w:b/>
          <w:bCs/>
          <w:color w:val="666666"/>
          <w:spacing w:val="-5"/>
        </w:rPr>
        <w:t>一、基本情况</w:t>
      </w:r>
    </w:p>
    <w:p w14:paraId="5968BE27">
      <w:pPr>
        <w:pStyle w:val="2"/>
        <w:spacing w:before="304" w:line="225" w:lineRule="auto"/>
        <w:ind w:left="541"/>
        <w:outlineLvl w:val="2"/>
      </w:pPr>
      <w:r>
        <w:rPr>
          <w:b/>
          <w:bCs/>
          <w:color w:val="666666"/>
        </w:rPr>
        <w:t>（一）部门整体支出概况</w:t>
      </w:r>
    </w:p>
    <w:p w14:paraId="16F86C4F">
      <w:pPr>
        <w:pStyle w:val="2"/>
        <w:spacing w:before="333" w:line="311" w:lineRule="auto"/>
        <w:ind w:left="18" w:right="13" w:firstLine="569"/>
        <w:jc w:val="both"/>
      </w:pPr>
      <w:r>
        <w:rPr>
          <w:color w:val="666666"/>
        </w:rPr>
        <w:t>2022 年我局严格按照新政府会计制度执行有</w:t>
      </w:r>
      <w:r>
        <w:rPr>
          <w:color w:val="666666"/>
          <w:spacing w:val="-1"/>
        </w:rPr>
        <w:t>关财务管理，认真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执行国库集中支付核算制度，严格依法依规依程</w:t>
      </w:r>
      <w:r>
        <w:rPr>
          <w:color w:val="666666"/>
          <w:spacing w:val="-4"/>
        </w:rPr>
        <w:t>序进行政府采购，坚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持公开公平公正。</w:t>
      </w:r>
    </w:p>
    <w:p w14:paraId="1C793C4B">
      <w:pPr>
        <w:pStyle w:val="2"/>
        <w:spacing w:before="107" w:line="299" w:lineRule="auto"/>
        <w:ind w:left="16" w:right="13" w:firstLine="586"/>
        <w:jc w:val="both"/>
      </w:pPr>
      <w:r>
        <w:rPr>
          <w:color w:val="666666"/>
          <w:spacing w:val="2"/>
        </w:rPr>
        <w:t>1.整体支出规模：本年支出合计 108439.1</w:t>
      </w:r>
      <w:r>
        <w:rPr>
          <w:color w:val="666666"/>
          <w:spacing w:val="1"/>
        </w:rPr>
        <w:t>1 万元，其中：基本</w:t>
      </w:r>
      <w:r>
        <w:rPr>
          <w:color w:val="666666"/>
        </w:rPr>
        <w:t xml:space="preserve"> </w:t>
      </w:r>
      <w:r>
        <w:rPr>
          <w:color w:val="666666"/>
          <w:spacing w:val="2"/>
        </w:rPr>
        <w:t>支出</w:t>
      </w:r>
      <w:r>
        <w:rPr>
          <w:color w:val="666666"/>
          <w:spacing w:val="32"/>
        </w:rPr>
        <w:t xml:space="preserve"> </w:t>
      </w:r>
      <w:r>
        <w:rPr>
          <w:color w:val="666666"/>
          <w:spacing w:val="2"/>
        </w:rPr>
        <w:t>55772.38 万元，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2"/>
        </w:rPr>
        <w:t>占</w:t>
      </w:r>
      <w:r>
        <w:rPr>
          <w:color w:val="666666"/>
          <w:spacing w:val="30"/>
        </w:rPr>
        <w:t xml:space="preserve"> </w:t>
      </w:r>
      <w:r>
        <w:rPr>
          <w:color w:val="666666"/>
          <w:spacing w:val="2"/>
        </w:rPr>
        <w:t>51.43%；项目支出</w:t>
      </w:r>
      <w:r>
        <w:rPr>
          <w:color w:val="666666"/>
          <w:spacing w:val="30"/>
        </w:rPr>
        <w:t xml:space="preserve"> </w:t>
      </w:r>
      <w:r>
        <w:rPr>
          <w:color w:val="666666"/>
          <w:spacing w:val="2"/>
        </w:rPr>
        <w:t>52666</w:t>
      </w:r>
      <w:r>
        <w:rPr>
          <w:color w:val="666666"/>
          <w:spacing w:val="1"/>
        </w:rPr>
        <w:t>.73 万元，</w:t>
      </w:r>
      <w:r>
        <w:rPr>
          <w:color w:val="666666"/>
          <w:spacing w:val="-23"/>
        </w:rPr>
        <w:t xml:space="preserve"> </w:t>
      </w:r>
      <w:r>
        <w:rPr>
          <w:color w:val="666666"/>
          <w:spacing w:val="1"/>
        </w:rPr>
        <w:t>占</w:t>
      </w:r>
      <w:r>
        <w:rPr>
          <w:color w:val="666666"/>
        </w:rPr>
        <w:t xml:space="preserve"> </w:t>
      </w:r>
      <w:r>
        <w:rPr>
          <w:color w:val="666666"/>
          <w:spacing w:val="1"/>
        </w:rPr>
        <w:t>48.57%。主要是为保障全市各行政事业单位（含各医疗单位）的工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1"/>
        </w:rPr>
        <w:t>作日常运转而发生的必要费用。</w:t>
      </w:r>
    </w:p>
    <w:p w14:paraId="6EA20AE5">
      <w:pPr>
        <w:spacing w:line="299" w:lineRule="auto"/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4B5F8974">
      <w:pPr>
        <w:spacing w:line="274" w:lineRule="auto"/>
        <w:rPr>
          <w:rFonts w:ascii="Arial"/>
          <w:sz w:val="21"/>
        </w:rPr>
      </w:pPr>
    </w:p>
    <w:p w14:paraId="01F90A62">
      <w:pPr>
        <w:spacing w:line="274" w:lineRule="auto"/>
        <w:rPr>
          <w:rFonts w:ascii="Arial"/>
          <w:sz w:val="21"/>
        </w:rPr>
      </w:pPr>
    </w:p>
    <w:p w14:paraId="502C7FE3">
      <w:pPr>
        <w:spacing w:line="274" w:lineRule="auto"/>
        <w:rPr>
          <w:rFonts w:ascii="Arial"/>
          <w:sz w:val="21"/>
        </w:rPr>
      </w:pPr>
    </w:p>
    <w:p w14:paraId="1AFCFC29">
      <w:pPr>
        <w:spacing w:line="274" w:lineRule="auto"/>
        <w:rPr>
          <w:rFonts w:ascii="Arial"/>
          <w:sz w:val="21"/>
        </w:rPr>
      </w:pPr>
    </w:p>
    <w:p w14:paraId="372EF2F0">
      <w:pPr>
        <w:pStyle w:val="2"/>
        <w:spacing w:before="120" w:line="317" w:lineRule="auto"/>
        <w:ind w:left="19" w:right="249" w:firstLine="568"/>
        <w:rPr>
          <w:highlight w:val="none"/>
        </w:rPr>
      </w:pPr>
      <w:r>
        <w:rPr>
          <w:color w:val="666666"/>
          <w:spacing w:val="-1"/>
          <w:highlight w:val="none"/>
        </w:rPr>
        <w:t>2.“三公经费”支出：“三公经费”财政拨款支出预算为 36.5</w:t>
      </w:r>
      <w:r>
        <w:rPr>
          <w:color w:val="666666"/>
          <w:spacing w:val="4"/>
          <w:highlight w:val="none"/>
        </w:rPr>
        <w:t xml:space="preserve"> </w:t>
      </w:r>
      <w:r>
        <w:rPr>
          <w:color w:val="666666"/>
          <w:spacing w:val="-1"/>
          <w:highlight w:val="none"/>
        </w:rPr>
        <w:t>万元，支出决算为 10.85 万元，完成预算的 29.72%，其中：</w:t>
      </w:r>
    </w:p>
    <w:p w14:paraId="350EE6B6">
      <w:pPr>
        <w:pStyle w:val="2"/>
        <w:spacing w:before="33" w:line="304" w:lineRule="auto"/>
        <w:ind w:left="16" w:right="221" w:firstLine="580"/>
        <w:rPr>
          <w:highlight w:val="none"/>
        </w:rPr>
      </w:pPr>
      <w:r>
        <w:rPr>
          <w:color w:val="666666"/>
          <w:spacing w:val="-2"/>
          <w:highlight w:val="none"/>
        </w:rPr>
        <w:t>因公出国（境）费支出预算为 0 万元，</w:t>
      </w:r>
      <w:r>
        <w:rPr>
          <w:color w:val="666666"/>
          <w:spacing w:val="-3"/>
          <w:highlight w:val="none"/>
        </w:rPr>
        <w:t>支出决算为 0 万元，</w:t>
      </w:r>
      <w:r>
        <w:rPr>
          <w:rFonts w:hint="eastAsia"/>
          <w:color w:val="666666"/>
          <w:spacing w:val="-3"/>
          <w:highlight w:val="none"/>
        </w:rPr>
        <w:t>因年初预算为0，无法计算完成预算百分比</w:t>
      </w:r>
      <w:r>
        <w:rPr>
          <w:color w:val="666666"/>
          <w:spacing w:val="-2"/>
          <w:highlight w:val="none"/>
        </w:rPr>
        <w:t>。</w:t>
      </w:r>
    </w:p>
    <w:p w14:paraId="13834A77">
      <w:pPr>
        <w:pStyle w:val="2"/>
        <w:spacing w:before="185" w:line="305" w:lineRule="auto"/>
        <w:ind w:left="18" w:right="85" w:firstLine="558"/>
        <w:jc w:val="both"/>
        <w:rPr>
          <w:highlight w:val="none"/>
        </w:rPr>
      </w:pPr>
      <w:r>
        <w:rPr>
          <w:color w:val="666666"/>
          <w:spacing w:val="-4"/>
          <w:highlight w:val="none"/>
        </w:rPr>
        <w:t>公务接待费支出预算为 14.5 万元，支出决算为 7</w:t>
      </w:r>
      <w:r>
        <w:rPr>
          <w:color w:val="666666"/>
          <w:spacing w:val="-5"/>
          <w:highlight w:val="none"/>
        </w:rPr>
        <w:t>.22 万元，完成</w:t>
      </w:r>
      <w:r>
        <w:rPr>
          <w:color w:val="666666"/>
          <w:highlight w:val="none"/>
        </w:rPr>
        <w:t xml:space="preserve"> </w:t>
      </w:r>
      <w:r>
        <w:rPr>
          <w:color w:val="666666"/>
          <w:spacing w:val="-1"/>
          <w:highlight w:val="none"/>
        </w:rPr>
        <w:t>预算的 49.79%，决算数小于年初预算数的主要原因是规范公</w:t>
      </w:r>
      <w:r>
        <w:rPr>
          <w:color w:val="666666"/>
          <w:spacing w:val="-2"/>
          <w:highlight w:val="none"/>
        </w:rPr>
        <w:t>务接待</w:t>
      </w:r>
      <w:r>
        <w:rPr>
          <w:color w:val="666666"/>
          <w:highlight w:val="none"/>
        </w:rPr>
        <w:t xml:space="preserve"> </w:t>
      </w:r>
      <w:r>
        <w:rPr>
          <w:color w:val="666666"/>
          <w:spacing w:val="-3"/>
          <w:highlight w:val="none"/>
        </w:rPr>
        <w:t>管理，实行归口统一管理，先审批后安排，并明</w:t>
      </w:r>
      <w:r>
        <w:rPr>
          <w:color w:val="666666"/>
          <w:spacing w:val="-4"/>
          <w:highlight w:val="none"/>
        </w:rPr>
        <w:t>确接待地点和接待标</w:t>
      </w:r>
      <w:r>
        <w:rPr>
          <w:color w:val="666666"/>
          <w:highlight w:val="none"/>
        </w:rPr>
        <w:t xml:space="preserve"> 准。严格执行中央、省、市文件精神，严控公务</w:t>
      </w:r>
      <w:r>
        <w:rPr>
          <w:color w:val="666666"/>
          <w:spacing w:val="-1"/>
          <w:highlight w:val="none"/>
        </w:rPr>
        <w:t>接待支出。</w:t>
      </w:r>
    </w:p>
    <w:p w14:paraId="19F24A77">
      <w:pPr>
        <w:pStyle w:val="2"/>
        <w:spacing w:before="158" w:line="298" w:lineRule="auto"/>
        <w:ind w:left="16" w:right="85" w:firstLine="560"/>
        <w:jc w:val="both"/>
        <w:rPr>
          <w:highlight w:val="none"/>
        </w:rPr>
      </w:pPr>
      <w:r>
        <w:rPr>
          <w:color w:val="666666"/>
          <w:spacing w:val="-1"/>
          <w:highlight w:val="none"/>
        </w:rPr>
        <w:t>公务用车购置费及运行维护费支出预算为 22 万元，支出决</w:t>
      </w:r>
      <w:r>
        <w:rPr>
          <w:color w:val="666666"/>
          <w:spacing w:val="-2"/>
          <w:highlight w:val="none"/>
        </w:rPr>
        <w:t>算为</w:t>
      </w:r>
      <w:r>
        <w:rPr>
          <w:color w:val="666666"/>
          <w:highlight w:val="none"/>
        </w:rPr>
        <w:t xml:space="preserve"> </w:t>
      </w:r>
      <w:r>
        <w:rPr>
          <w:color w:val="666666"/>
          <w:spacing w:val="-1"/>
          <w:highlight w:val="none"/>
        </w:rPr>
        <w:t>3.63 万元，完成预算的 16.5%，决算数小于年初预算数的主要原因</w:t>
      </w:r>
      <w:r>
        <w:rPr>
          <w:color w:val="666666"/>
          <w:spacing w:val="3"/>
          <w:highlight w:val="none"/>
        </w:rPr>
        <w:t xml:space="preserve">  </w:t>
      </w:r>
      <w:r>
        <w:rPr>
          <w:color w:val="666666"/>
          <w:spacing w:val="-1"/>
          <w:highlight w:val="none"/>
        </w:rPr>
        <w:t>是对车辆维修、加油、保险严格管理。</w:t>
      </w:r>
    </w:p>
    <w:p w14:paraId="1EF21399">
      <w:pPr>
        <w:pStyle w:val="2"/>
        <w:spacing w:before="190" w:line="269" w:lineRule="auto"/>
        <w:ind w:left="19" w:right="105" w:firstLine="573"/>
      </w:pPr>
      <w:r>
        <w:rPr>
          <w:color w:val="666666"/>
          <w:spacing w:val="-2"/>
        </w:rPr>
        <w:t>3.</w:t>
      </w:r>
      <w:r>
        <w:rPr>
          <w:color w:val="666666"/>
          <w:spacing w:val="68"/>
        </w:rPr>
        <w:t xml:space="preserve"> </w:t>
      </w:r>
      <w:r>
        <w:rPr>
          <w:color w:val="666666"/>
          <w:spacing w:val="-2"/>
        </w:rPr>
        <w:t>结转结余情况：年初结转结余 0 万元，本年收入 108439.11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万元，本年支出 108439.11 万元，年末结转结余 0 万元。其中基本</w:t>
      </w:r>
      <w:r>
        <w:rPr>
          <w:color w:val="666666"/>
          <w:spacing w:val="17"/>
        </w:rPr>
        <w:t xml:space="preserve"> </w:t>
      </w:r>
      <w:r>
        <w:rPr>
          <w:color w:val="666666"/>
          <w:spacing w:val="-2"/>
        </w:rPr>
        <w:t>支出结转结余 0 万元，项目支出结转结余 0</w:t>
      </w:r>
      <w:r>
        <w:rPr>
          <w:color w:val="666666"/>
          <w:spacing w:val="-3"/>
        </w:rPr>
        <w:t xml:space="preserve"> 万元。</w:t>
      </w:r>
    </w:p>
    <w:p w14:paraId="3EEA3C84">
      <w:pPr>
        <w:pStyle w:val="2"/>
        <w:spacing w:before="304" w:line="225" w:lineRule="auto"/>
        <w:ind w:left="541"/>
        <w:outlineLvl w:val="2"/>
      </w:pPr>
      <w:r>
        <w:rPr>
          <w:b/>
          <w:bCs/>
          <w:color w:val="666666"/>
          <w:spacing w:val="-4"/>
        </w:rPr>
        <w:t>（</w:t>
      </w:r>
      <w:r>
        <w:rPr>
          <w:color w:val="666666"/>
          <w:spacing w:val="-31"/>
        </w:rPr>
        <w:t xml:space="preserve"> </w:t>
      </w:r>
      <w:r>
        <w:rPr>
          <w:b/>
          <w:bCs/>
          <w:color w:val="666666"/>
          <w:spacing w:val="-4"/>
        </w:rPr>
        <w:t>二）部门整体支出绩效目标及完成情况</w:t>
      </w:r>
    </w:p>
    <w:p w14:paraId="45662655">
      <w:pPr>
        <w:pStyle w:val="2"/>
        <w:spacing w:before="340" w:line="311" w:lineRule="auto"/>
        <w:ind w:left="15" w:firstLine="582"/>
        <w:jc w:val="both"/>
      </w:pPr>
      <w:r>
        <w:rPr>
          <w:color w:val="666666"/>
        </w:rPr>
        <w:t>1、疫情防控成果得到巩固拓展。在抗击新冠肺炎疫情这</w:t>
      </w:r>
      <w:r>
        <w:rPr>
          <w:color w:val="666666"/>
          <w:spacing w:val="-1"/>
        </w:rPr>
        <w:t>场大考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中，卫健系统作为首要职能部门，快速精准处置输入</w:t>
      </w:r>
      <w:r>
        <w:rPr>
          <w:color w:val="666666"/>
          <w:spacing w:val="-4"/>
        </w:rPr>
        <w:t>性本土疫情，始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终保持应急指挥体系激活状态，有效应对处置了输入</w:t>
      </w:r>
      <w:r>
        <w:rPr>
          <w:color w:val="666666"/>
          <w:spacing w:val="-4"/>
        </w:rPr>
        <w:t>性本土疫情。稳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妥有序推进疫苗接种，建立健全疫苗接种日通报、日</w:t>
      </w:r>
      <w:r>
        <w:rPr>
          <w:color w:val="666666"/>
          <w:spacing w:val="-4"/>
        </w:rPr>
        <w:t>调度机制，按进</w:t>
      </w:r>
      <w:r>
        <w:rPr>
          <w:color w:val="666666"/>
        </w:rPr>
        <w:t xml:space="preserve">  </w:t>
      </w:r>
      <w:r>
        <w:rPr>
          <w:color w:val="666666"/>
          <w:spacing w:val="-10"/>
        </w:rPr>
        <w:t>度要求完成接种目标任务；统筹做好疫苗供应和配送，确保接种安全。</w:t>
      </w:r>
    </w:p>
    <w:p w14:paraId="7DB27B7B">
      <w:pPr>
        <w:spacing w:line="311" w:lineRule="auto"/>
        <w:sectPr>
          <w:pgSz w:w="11906" w:h="16839"/>
          <w:pgMar w:top="400" w:right="1714" w:bottom="0" w:left="1785" w:header="0" w:footer="0" w:gutter="0"/>
          <w:cols w:space="720" w:num="1"/>
        </w:sectPr>
      </w:pPr>
    </w:p>
    <w:p w14:paraId="0768C2F0">
      <w:pPr>
        <w:spacing w:line="274" w:lineRule="auto"/>
        <w:rPr>
          <w:rFonts w:ascii="Arial"/>
          <w:sz w:val="21"/>
        </w:rPr>
      </w:pPr>
    </w:p>
    <w:p w14:paraId="726E0627">
      <w:pPr>
        <w:spacing w:line="274" w:lineRule="auto"/>
        <w:rPr>
          <w:rFonts w:ascii="Arial"/>
          <w:sz w:val="21"/>
        </w:rPr>
      </w:pPr>
    </w:p>
    <w:p w14:paraId="5AD5D239">
      <w:pPr>
        <w:spacing w:line="274" w:lineRule="auto"/>
        <w:rPr>
          <w:rFonts w:ascii="Arial"/>
          <w:sz w:val="21"/>
        </w:rPr>
      </w:pPr>
    </w:p>
    <w:p w14:paraId="6AD0D490">
      <w:pPr>
        <w:spacing w:line="274" w:lineRule="auto"/>
        <w:rPr>
          <w:rFonts w:ascii="Arial"/>
          <w:sz w:val="21"/>
        </w:rPr>
      </w:pPr>
    </w:p>
    <w:p w14:paraId="6CAF2C6A">
      <w:pPr>
        <w:pStyle w:val="2"/>
        <w:spacing w:before="120" w:line="310" w:lineRule="auto"/>
        <w:ind w:left="29" w:right="156" w:hanging="14"/>
      </w:pPr>
      <w:r>
        <w:rPr>
          <w:color w:val="666666"/>
          <w:spacing w:val="-3"/>
        </w:rPr>
        <w:t>不断加强应急处突能力，加强流调队伍、检测能力、</w:t>
      </w:r>
      <w:r>
        <w:rPr>
          <w:color w:val="666666"/>
          <w:spacing w:val="-4"/>
        </w:rPr>
        <w:t>转运隔离等方面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的规范化建设和储备。</w:t>
      </w:r>
    </w:p>
    <w:p w14:paraId="252AC394">
      <w:pPr>
        <w:pStyle w:val="2"/>
        <w:spacing w:before="110" w:line="185" w:lineRule="auto"/>
        <w:ind w:left="587"/>
      </w:pPr>
      <w:r>
        <w:rPr>
          <w:color w:val="666666"/>
          <w:spacing w:val="-1"/>
        </w:rPr>
        <w:t>2、夯实基本公共卫生服务和家庭医生签约服务。全市常住人口</w:t>
      </w:r>
    </w:p>
    <w:p w14:paraId="27853C5E">
      <w:pPr>
        <w:pStyle w:val="2"/>
        <w:spacing w:before="210" w:line="299" w:lineRule="auto"/>
        <w:ind w:left="16" w:firstLine="10"/>
      </w:pPr>
      <w:r>
        <w:rPr>
          <w:color w:val="666666"/>
          <w:spacing w:val="-2"/>
        </w:rPr>
        <w:t>79.19 万，共建居民电子健康档案 785143 份，建档率 99.12%；居</w:t>
      </w:r>
      <w:r>
        <w:rPr>
          <w:color w:val="666666"/>
          <w:spacing w:val="4"/>
        </w:rPr>
        <w:t xml:space="preserve">   </w:t>
      </w:r>
      <w:r>
        <w:rPr>
          <w:color w:val="666666"/>
          <w:spacing w:val="-5"/>
        </w:rPr>
        <w:t>民电子健康档案开放 545415 份，开放率 72.98%（省定目标 40%</w:t>
      </w:r>
      <w:r>
        <w:rPr>
          <w:color w:val="666666"/>
          <w:spacing w:val="-49"/>
        </w:rPr>
        <w:t>）；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在管高血压患者 58462 人，在管糖尿病患者 18893 人；老年人健康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体检已完成 73006 人，体检完成率 107%；严重精</w:t>
      </w:r>
      <w:r>
        <w:rPr>
          <w:color w:val="666666"/>
          <w:spacing w:val="-2"/>
        </w:rPr>
        <w:t>神障碍患者健康</w:t>
      </w:r>
      <w:r>
        <w:rPr>
          <w:color w:val="666666"/>
        </w:rPr>
        <w:t xml:space="preserve">    </w:t>
      </w:r>
      <w:r>
        <w:rPr>
          <w:color w:val="666666"/>
          <w:spacing w:val="-2"/>
        </w:rPr>
        <w:t>管理率 98.53%；肺结核患者健康管理率 9</w:t>
      </w:r>
      <w:r>
        <w:rPr>
          <w:color w:val="666666"/>
          <w:spacing w:val="-3"/>
        </w:rPr>
        <w:t>9.5%。做好脱贫人口、监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测户四类慢病患者的管理和服务，家庭医生签约人数 12281 人，签</w:t>
      </w:r>
      <w:r>
        <w:rPr>
          <w:color w:val="666666"/>
        </w:rPr>
        <w:t xml:space="preserve">   </w:t>
      </w:r>
      <w:r>
        <w:rPr>
          <w:color w:val="666666"/>
          <w:spacing w:val="-1"/>
        </w:rPr>
        <w:t>约率、随访服务率达到 100%。</w:t>
      </w:r>
    </w:p>
    <w:p w14:paraId="268A0DD3">
      <w:pPr>
        <w:pStyle w:val="2"/>
        <w:spacing w:before="327" w:line="280" w:lineRule="auto"/>
        <w:ind w:left="17" w:right="156" w:firstLine="575"/>
      </w:pPr>
      <w:r>
        <w:rPr>
          <w:color w:val="666666"/>
          <w:spacing w:val="-1"/>
        </w:rPr>
        <w:t>3、健康祁阳行动有序推进。成功创建全国健康促进县和湖南省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3"/>
        </w:rPr>
        <w:t>慢病综合防控示范区，居民健康意识、健康素养</w:t>
      </w:r>
      <w:r>
        <w:rPr>
          <w:color w:val="666666"/>
          <w:spacing w:val="-4"/>
        </w:rPr>
        <w:t>水平大大提高。深入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开展爱国卫生运动，将病媒生物防治与登革热防</w:t>
      </w:r>
      <w:r>
        <w:rPr>
          <w:color w:val="666666"/>
          <w:spacing w:val="-4"/>
        </w:rPr>
        <w:t>控工作有机结合，每</w:t>
      </w:r>
      <w:r>
        <w:rPr>
          <w:color w:val="666666"/>
        </w:rPr>
        <w:t xml:space="preserve"> 月对病媒生物孳生地开展了消杀工作.</w:t>
      </w:r>
    </w:p>
    <w:p w14:paraId="252357E1">
      <w:pPr>
        <w:spacing w:line="242" w:lineRule="auto"/>
        <w:rPr>
          <w:rFonts w:ascii="Arial"/>
          <w:sz w:val="21"/>
        </w:rPr>
      </w:pPr>
    </w:p>
    <w:p w14:paraId="4E9F62BA">
      <w:pPr>
        <w:pStyle w:val="2"/>
        <w:spacing w:before="121" w:line="290" w:lineRule="auto"/>
        <w:ind w:left="16" w:right="156" w:firstLine="559"/>
      </w:pPr>
      <w:r>
        <w:rPr>
          <w:color w:val="666666"/>
        </w:rPr>
        <w:t>4、突出“一老一小”措施落地见效。</w:t>
      </w:r>
      <w:r>
        <w:rPr>
          <w:color w:val="666666"/>
          <w:spacing w:val="-57"/>
        </w:rPr>
        <w:t xml:space="preserve"> </w:t>
      </w:r>
      <w:r>
        <w:rPr>
          <w:color w:val="666666"/>
        </w:rPr>
        <w:t>医养签约</w:t>
      </w:r>
      <w:r>
        <w:rPr>
          <w:color w:val="666666"/>
          <w:spacing w:val="-1"/>
        </w:rPr>
        <w:t>服务全面落实，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全市 20 个镇敬老院、4 个民办养老机构、</w:t>
      </w:r>
      <w:r>
        <w:rPr>
          <w:color w:val="666666"/>
          <w:spacing w:val="-60"/>
        </w:rPr>
        <w:t xml:space="preserve"> </w:t>
      </w:r>
      <w:r>
        <w:rPr>
          <w:color w:val="666666"/>
          <w:spacing w:val="-2"/>
        </w:rPr>
        <w:t>1 个</w:t>
      </w:r>
      <w:r>
        <w:rPr>
          <w:color w:val="666666"/>
          <w:spacing w:val="-3"/>
        </w:rPr>
        <w:t>医养结合机构均与属</w:t>
      </w:r>
      <w:r>
        <w:rPr>
          <w:color w:val="666666"/>
        </w:rPr>
        <w:t xml:space="preserve">  </w:t>
      </w:r>
      <w:r>
        <w:rPr>
          <w:color w:val="666666"/>
          <w:spacing w:val="-3"/>
        </w:rPr>
        <w:t>地镇（街道）卫生院（社区卫生服务中心）签订了医</w:t>
      </w:r>
      <w:r>
        <w:rPr>
          <w:color w:val="666666"/>
          <w:spacing w:val="-4"/>
        </w:rPr>
        <w:t>养签约合作协议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书。老年医学科建设全面覆盖，人民医院、中医医院</w:t>
      </w:r>
      <w:r>
        <w:rPr>
          <w:color w:val="666666"/>
          <w:spacing w:val="-4"/>
        </w:rPr>
        <w:t>均建立了老年医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学科。积极推动“三孩”生育政策及配套措施落地见效，全市 0－3</w:t>
      </w:r>
      <w:r>
        <w:rPr>
          <w:color w:val="666666"/>
          <w:spacing w:val="7"/>
        </w:rPr>
        <w:t xml:space="preserve">  </w:t>
      </w:r>
      <w:r>
        <w:rPr>
          <w:color w:val="666666"/>
          <w:spacing w:val="-5"/>
        </w:rPr>
        <w:t>岁婴幼儿人口 18002 人，已完成 10 个新增托育机构备案工作，可提</w:t>
      </w:r>
    </w:p>
    <w:p w14:paraId="71B2E57E">
      <w:pPr>
        <w:spacing w:line="290" w:lineRule="auto"/>
        <w:sectPr>
          <w:pgSz w:w="11906" w:h="16839"/>
          <w:pgMar w:top="400" w:right="1642" w:bottom="0" w:left="1785" w:header="0" w:footer="0" w:gutter="0"/>
          <w:cols w:space="720" w:num="1"/>
        </w:sectPr>
      </w:pPr>
    </w:p>
    <w:p w14:paraId="2FDD1DCB">
      <w:pPr>
        <w:spacing w:line="273" w:lineRule="auto"/>
        <w:rPr>
          <w:rFonts w:ascii="Arial"/>
          <w:sz w:val="21"/>
        </w:rPr>
      </w:pPr>
    </w:p>
    <w:p w14:paraId="660B3478">
      <w:pPr>
        <w:spacing w:line="274" w:lineRule="auto"/>
        <w:rPr>
          <w:rFonts w:ascii="Arial"/>
          <w:sz w:val="21"/>
        </w:rPr>
      </w:pPr>
    </w:p>
    <w:p w14:paraId="1F3206BF">
      <w:pPr>
        <w:spacing w:line="274" w:lineRule="auto"/>
        <w:rPr>
          <w:rFonts w:ascii="Arial"/>
          <w:sz w:val="21"/>
        </w:rPr>
      </w:pPr>
    </w:p>
    <w:p w14:paraId="23B3809C">
      <w:pPr>
        <w:spacing w:line="274" w:lineRule="auto"/>
        <w:rPr>
          <w:rFonts w:ascii="Arial"/>
          <w:sz w:val="21"/>
        </w:rPr>
      </w:pPr>
    </w:p>
    <w:p w14:paraId="220CBAD9">
      <w:pPr>
        <w:pStyle w:val="2"/>
        <w:spacing w:before="120" w:line="311" w:lineRule="auto"/>
        <w:ind w:left="15" w:right="368"/>
      </w:pPr>
      <w:r>
        <w:rPr>
          <w:color w:val="666666"/>
          <w:spacing w:val="-1"/>
        </w:rPr>
        <w:t>供 2000 个托位，每千人口拥有托位</w:t>
      </w:r>
      <w:r>
        <w:rPr>
          <w:color w:val="666666"/>
          <w:spacing w:val="-2"/>
        </w:rPr>
        <w:t xml:space="preserve"> 2.51 个，初步形成了托育服务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供给体系。</w:t>
      </w:r>
    </w:p>
    <w:p w14:paraId="6C728AF0">
      <w:pPr>
        <w:pStyle w:val="2"/>
        <w:spacing w:before="117" w:line="310" w:lineRule="auto"/>
        <w:ind w:left="15" w:right="279" w:firstLine="581"/>
        <w:jc w:val="both"/>
      </w:pPr>
      <w:r>
        <w:rPr>
          <w:color w:val="666666"/>
          <w:spacing w:val="-2"/>
        </w:rPr>
        <w:t>5、惠民实事工作落到实处。所有建制乡镇卫生院配备 2 名全科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-1"/>
        </w:rPr>
        <w:t xml:space="preserve">医生，每个行政村卫生室每年补助运行经费 6000 </w:t>
      </w:r>
      <w:r>
        <w:rPr>
          <w:color w:val="666666"/>
          <w:spacing w:val="-2"/>
        </w:rPr>
        <w:t>元，共拨付 308.4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万元；稳步推进妇幼健康工作，强化母婴安全。全年共</w:t>
      </w:r>
      <w:r>
        <w:rPr>
          <w:color w:val="666666"/>
          <w:spacing w:val="-4"/>
        </w:rPr>
        <w:t>完成农村适龄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妇女及城镇低保适龄妇女“两癌”免费检查 20004 人，孕产妇免费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8"/>
        </w:rPr>
        <w:t xml:space="preserve">产前筛查 3546 人，新生儿先天性心脏病免费筛查 3585 人。全市 </w:t>
      </w:r>
      <w:r>
        <w:rPr>
          <w:color w:val="666666"/>
          <w:spacing w:val="-9"/>
        </w:rPr>
        <w:t>0-6</w:t>
      </w:r>
      <w:r>
        <w:rPr>
          <w:color w:val="666666"/>
        </w:rPr>
        <w:t xml:space="preserve"> </w:t>
      </w:r>
      <w:r>
        <w:rPr>
          <w:color w:val="666666"/>
          <w:spacing w:val="-5"/>
        </w:rPr>
        <w:t>岁健康管理人数 53304 人，健康管理建档率 95.86%；做好农民工尘</w:t>
      </w:r>
      <w:r>
        <w:rPr>
          <w:color w:val="666666"/>
          <w:spacing w:val="6"/>
        </w:rPr>
        <w:t xml:space="preserve"> </w:t>
      </w:r>
      <w:r>
        <w:rPr>
          <w:color w:val="666666"/>
          <w:spacing w:val="-1"/>
        </w:rPr>
        <w:t>肺病救治救助工作，全市共救治救助农民工尘肺病 816 人次；加大</w:t>
      </w:r>
      <w:r>
        <w:rPr>
          <w:color w:val="666666"/>
          <w:spacing w:val="2"/>
        </w:rPr>
        <w:t xml:space="preserve">  </w:t>
      </w:r>
      <w:r>
        <w:rPr>
          <w:color w:val="666666"/>
          <w:spacing w:val="-3"/>
        </w:rPr>
        <w:t>计生特殊家庭扶助关怀力度，实现计生特殊家庭联系人</w:t>
      </w:r>
      <w:r>
        <w:rPr>
          <w:color w:val="666666"/>
          <w:spacing w:val="-4"/>
        </w:rPr>
        <w:t>制度、家庭医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生签约服务、就医绿色通道“三个全覆盖”。</w:t>
      </w:r>
    </w:p>
    <w:p w14:paraId="0D894846">
      <w:pPr>
        <w:pStyle w:val="2"/>
        <w:spacing w:before="72" w:line="225" w:lineRule="auto"/>
        <w:ind w:left="541"/>
        <w:outlineLvl w:val="2"/>
      </w:pPr>
      <w:r>
        <w:rPr>
          <w:b/>
          <w:bCs/>
          <w:color w:val="666666"/>
          <w:spacing w:val="-2"/>
        </w:rPr>
        <w:t>（三）部门整体支出及项目实施情况分析</w:t>
      </w:r>
    </w:p>
    <w:p w14:paraId="61FC8934">
      <w:pPr>
        <w:pStyle w:val="2"/>
        <w:spacing w:before="335" w:line="310" w:lineRule="auto"/>
        <w:ind w:left="20" w:right="279" w:firstLine="555"/>
      </w:pPr>
      <w:r>
        <w:rPr>
          <w:color w:val="666666"/>
          <w:spacing w:val="-4"/>
        </w:rPr>
        <w:t>我单位严格按照上级专项资金管理办法使用资金，确保专项资金</w:t>
      </w:r>
      <w:r>
        <w:rPr>
          <w:color w:val="666666"/>
          <w:spacing w:val="15"/>
        </w:rPr>
        <w:t xml:space="preserve"> </w:t>
      </w:r>
      <w:r>
        <w:rPr>
          <w:color w:val="666666"/>
          <w:spacing w:val="-2"/>
        </w:rPr>
        <w:t>专款专用。</w:t>
      </w:r>
    </w:p>
    <w:p w14:paraId="3C884D5D">
      <w:pPr>
        <w:pStyle w:val="2"/>
        <w:spacing w:before="104" w:line="310" w:lineRule="auto"/>
        <w:ind w:left="16" w:firstLine="581"/>
        <w:jc w:val="both"/>
      </w:pPr>
      <w:r>
        <w:rPr>
          <w:color w:val="666666"/>
        </w:rPr>
        <w:t>1、部门整体支出定性目标及实施计划完成情况。本年预</w:t>
      </w:r>
      <w:r>
        <w:rPr>
          <w:color w:val="666666"/>
          <w:spacing w:val="-1"/>
        </w:rPr>
        <w:t>算配置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控制较好，财政供养人员控制在预算编制以内，“</w:t>
      </w:r>
      <w:r>
        <w:rPr>
          <w:color w:val="666666"/>
          <w:spacing w:val="-4"/>
        </w:rPr>
        <w:t>三公”经费支出总</w:t>
      </w:r>
      <w:r>
        <w:rPr>
          <w:color w:val="666666"/>
        </w:rPr>
        <w:t xml:space="preserve">    </w:t>
      </w:r>
      <w:r>
        <w:rPr>
          <w:color w:val="666666"/>
          <w:spacing w:val="-1"/>
        </w:rPr>
        <w:t>额完成预算的 29.72%。预算执行方面，根据“总量控制、计划管理”</w:t>
      </w:r>
      <w:r>
        <w:rPr>
          <w:color w:val="666666"/>
        </w:rPr>
        <w:t xml:space="preserve"> </w:t>
      </w:r>
      <w:r>
        <w:rPr>
          <w:color w:val="666666"/>
          <w:spacing w:val="-8"/>
        </w:rPr>
        <w:t>的要求从严控制行政经费，压缩公务费开支，严格控制“三公”经费</w:t>
      </w:r>
      <w:r>
        <w:rPr>
          <w:color w:val="666666"/>
          <w:spacing w:val="38"/>
        </w:rPr>
        <w:t xml:space="preserve"> </w:t>
      </w:r>
      <w:r>
        <w:rPr>
          <w:color w:val="666666"/>
          <w:spacing w:val="-8"/>
        </w:rPr>
        <w:t>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支出总额控制在预算总额以内；资产配置严格政府</w:t>
      </w:r>
      <w:r>
        <w:rPr>
          <w:color w:val="666666"/>
          <w:spacing w:val="-4"/>
        </w:rPr>
        <w:t>采购，按照预算科</w:t>
      </w:r>
      <w:r>
        <w:rPr>
          <w:color w:val="666666"/>
        </w:rPr>
        <w:t xml:space="preserve">    </w:t>
      </w:r>
      <w:r>
        <w:rPr>
          <w:color w:val="666666"/>
          <w:spacing w:val="-3"/>
        </w:rPr>
        <w:t>目规定使用财政资金，保障资金支出的规范化、制</w:t>
      </w:r>
      <w:r>
        <w:rPr>
          <w:color w:val="666666"/>
          <w:spacing w:val="-4"/>
        </w:rPr>
        <w:t>度化。预算管理方</w:t>
      </w:r>
      <w:r>
        <w:rPr>
          <w:color w:val="666666"/>
        </w:rPr>
        <w:t xml:space="preserve">    </w:t>
      </w:r>
      <w:r>
        <w:rPr>
          <w:color w:val="666666"/>
          <w:spacing w:val="-7"/>
        </w:rPr>
        <w:t>面，切实有效地执行了内部财务管理制度、车辆、资产</w:t>
      </w:r>
      <w:r>
        <w:rPr>
          <w:color w:val="666666"/>
          <w:spacing w:val="-8"/>
        </w:rPr>
        <w:t>内部管理制度，</w:t>
      </w:r>
    </w:p>
    <w:p w14:paraId="6339F147">
      <w:pPr>
        <w:spacing w:line="310" w:lineRule="auto"/>
        <w:sectPr>
          <w:pgSz w:w="11906" w:h="16839"/>
          <w:pgMar w:top="400" w:right="1520" w:bottom="0" w:left="1785" w:header="0" w:footer="0" w:gutter="0"/>
          <w:cols w:space="720" w:num="1"/>
        </w:sectPr>
      </w:pPr>
    </w:p>
    <w:p w14:paraId="37A4E725">
      <w:pPr>
        <w:spacing w:line="273" w:lineRule="auto"/>
        <w:rPr>
          <w:rFonts w:ascii="Arial"/>
          <w:sz w:val="21"/>
        </w:rPr>
      </w:pPr>
    </w:p>
    <w:p w14:paraId="3AEED61A">
      <w:pPr>
        <w:spacing w:line="274" w:lineRule="auto"/>
        <w:rPr>
          <w:rFonts w:ascii="Arial"/>
          <w:sz w:val="21"/>
        </w:rPr>
      </w:pPr>
    </w:p>
    <w:p w14:paraId="593DFD5C">
      <w:pPr>
        <w:spacing w:line="274" w:lineRule="auto"/>
        <w:rPr>
          <w:rFonts w:ascii="Arial"/>
          <w:sz w:val="21"/>
        </w:rPr>
      </w:pPr>
    </w:p>
    <w:p w14:paraId="0082046B">
      <w:pPr>
        <w:spacing w:line="274" w:lineRule="auto"/>
        <w:rPr>
          <w:rFonts w:ascii="Arial"/>
          <w:sz w:val="21"/>
        </w:rPr>
      </w:pPr>
    </w:p>
    <w:p w14:paraId="09AE2A76">
      <w:pPr>
        <w:pStyle w:val="2"/>
        <w:spacing w:before="120" w:line="311" w:lineRule="auto"/>
        <w:ind w:left="22" w:right="153" w:hanging="3"/>
      </w:pPr>
      <w:r>
        <w:rPr>
          <w:color w:val="666666"/>
        </w:rPr>
        <w:t>预算资金按规定管理使用，较好地完成了当年任务目标。2022 年全 面完成了上级主管部门下达我局的各项工作任</w:t>
      </w:r>
      <w:r>
        <w:rPr>
          <w:color w:val="666666"/>
          <w:spacing w:val="-1"/>
        </w:rPr>
        <w:t>务和重点工作计划。</w:t>
      </w:r>
    </w:p>
    <w:p w14:paraId="2E4BB7B6">
      <w:pPr>
        <w:pStyle w:val="2"/>
        <w:spacing w:before="111" w:line="311" w:lineRule="auto"/>
        <w:ind w:left="17" w:firstLine="570"/>
        <w:jc w:val="both"/>
      </w:pPr>
      <w:r>
        <w:rPr>
          <w:color w:val="666666"/>
        </w:rPr>
        <w:t>2、资金管理情况。我局项目资金全部按财政国库集中支付制度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3"/>
        </w:rPr>
        <w:t>要求使用和拨付，通过财政直接支付方式拨给项目</w:t>
      </w:r>
      <w:r>
        <w:rPr>
          <w:color w:val="666666"/>
          <w:spacing w:val="-4"/>
        </w:rPr>
        <w:t>实施单位。在拨付</w:t>
      </w:r>
      <w:r>
        <w:rPr>
          <w:color w:val="666666"/>
        </w:rPr>
        <w:t xml:space="preserve">   </w:t>
      </w:r>
      <w:r>
        <w:rPr>
          <w:color w:val="666666"/>
          <w:spacing w:val="-7"/>
        </w:rPr>
        <w:t>过程中严把监督审核关，建立健全内部审批制度，财</w:t>
      </w:r>
      <w:r>
        <w:rPr>
          <w:color w:val="666666"/>
          <w:spacing w:val="-8"/>
        </w:rPr>
        <w:t>务做好项目专帐，</w:t>
      </w:r>
      <w:r>
        <w:rPr>
          <w:color w:val="666666"/>
        </w:rPr>
        <w:t xml:space="preserve"> 严格实行专款专用，保证资金及时足额用到项目中。2022 年我局一   </w:t>
      </w:r>
      <w:r>
        <w:rPr>
          <w:color w:val="666666"/>
          <w:spacing w:val="14"/>
        </w:rPr>
        <w:t>般公共预算财政拨款收入</w:t>
      </w:r>
      <w:r>
        <w:rPr>
          <w:color w:val="666666"/>
          <w:spacing w:val="32"/>
          <w:w w:val="101"/>
        </w:rPr>
        <w:t xml:space="preserve"> </w:t>
      </w:r>
      <w:r>
        <w:rPr>
          <w:color w:val="666666"/>
          <w:spacing w:val="14"/>
        </w:rPr>
        <w:t>17544.59 万元，政府性基金预算收入</w:t>
      </w:r>
      <w:r>
        <w:rPr>
          <w:color w:val="666666"/>
        </w:rPr>
        <w:t xml:space="preserve">   </w:t>
      </w:r>
      <w:r>
        <w:rPr>
          <w:color w:val="666666"/>
          <w:spacing w:val="-2"/>
        </w:rPr>
        <w:t>796.87 万元,其他收入 90097.65 万元。</w:t>
      </w:r>
    </w:p>
    <w:p w14:paraId="4B2217D0">
      <w:pPr>
        <w:pStyle w:val="2"/>
        <w:spacing w:before="113" w:line="184" w:lineRule="auto"/>
        <w:ind w:left="581"/>
        <w:outlineLvl w:val="1"/>
      </w:pPr>
      <w:r>
        <w:rPr>
          <w:b/>
          <w:bCs/>
          <w:color w:val="666666"/>
          <w:spacing w:val="-4"/>
        </w:rPr>
        <w:t>二、绩效评价工作情况</w:t>
      </w:r>
    </w:p>
    <w:p w14:paraId="31B2099F">
      <w:pPr>
        <w:pStyle w:val="2"/>
        <w:spacing w:before="358" w:line="184" w:lineRule="auto"/>
        <w:ind w:left="597"/>
        <w:outlineLvl w:val="3"/>
      </w:pPr>
      <w:r>
        <w:rPr>
          <w:b/>
          <w:bCs/>
          <w:color w:val="666666"/>
          <w:spacing w:val="-5"/>
        </w:rPr>
        <w:t>1、绩效评价目的</w:t>
      </w:r>
    </w:p>
    <w:p w14:paraId="62F69A2E">
      <w:pPr>
        <w:rPr>
          <w:rFonts w:ascii="Arial"/>
          <w:sz w:val="21"/>
        </w:rPr>
      </w:pPr>
    </w:p>
    <w:p w14:paraId="730FD79A">
      <w:pPr>
        <w:pStyle w:val="2"/>
        <w:spacing w:before="120" w:line="309" w:lineRule="auto"/>
        <w:ind w:left="18" w:right="45" w:firstLine="556"/>
        <w:jc w:val="both"/>
      </w:pPr>
      <w:r>
        <w:rPr>
          <w:color w:val="666666"/>
        </w:rPr>
        <w:t>加强和改进新形势下卫生健康事业工作，进一步理清部门职责，</w:t>
      </w:r>
      <w:r>
        <w:rPr>
          <w:color w:val="666666"/>
          <w:spacing w:val="12"/>
        </w:rPr>
        <w:t xml:space="preserve"> </w:t>
      </w:r>
      <w:r>
        <w:rPr>
          <w:color w:val="666666"/>
          <w:spacing w:val="-3"/>
        </w:rPr>
        <w:t>规范资金管理，强化资金使用效益意识，提升资</w:t>
      </w:r>
      <w:r>
        <w:rPr>
          <w:color w:val="666666"/>
          <w:spacing w:val="-4"/>
        </w:rPr>
        <w:t>金管理水平和工作质</w:t>
      </w:r>
      <w:r>
        <w:rPr>
          <w:color w:val="666666"/>
        </w:rPr>
        <w:t xml:space="preserve">  </w:t>
      </w:r>
      <w:r>
        <w:rPr>
          <w:color w:val="666666"/>
          <w:spacing w:val="-2"/>
        </w:rPr>
        <w:t>量。</w:t>
      </w:r>
    </w:p>
    <w:p w14:paraId="7AEF0878">
      <w:pPr>
        <w:pStyle w:val="2"/>
        <w:spacing w:before="121" w:line="184" w:lineRule="auto"/>
        <w:ind w:left="589"/>
        <w:outlineLvl w:val="3"/>
      </w:pPr>
      <w:r>
        <w:rPr>
          <w:b/>
          <w:bCs/>
          <w:color w:val="666666"/>
          <w:spacing w:val="-4"/>
        </w:rPr>
        <w:t>2、绩效评价工作过程</w:t>
      </w:r>
    </w:p>
    <w:p w14:paraId="04B9F4ED">
      <w:pPr>
        <w:pStyle w:val="2"/>
        <w:spacing w:before="355" w:line="312" w:lineRule="auto"/>
        <w:ind w:left="16" w:right="153" w:firstLine="560"/>
        <w:jc w:val="both"/>
      </w:pPr>
      <w:r>
        <w:rPr>
          <w:color w:val="666666"/>
          <w:spacing w:val="-4"/>
        </w:rPr>
        <w:t>我单位成立了绩效评价工作小组，负责本部门绩效自评工作的组</w:t>
      </w:r>
      <w:r>
        <w:rPr>
          <w:color w:val="666666"/>
          <w:spacing w:val="14"/>
        </w:rPr>
        <w:t xml:space="preserve"> </w:t>
      </w:r>
      <w:r>
        <w:rPr>
          <w:color w:val="666666"/>
          <w:spacing w:val="-3"/>
        </w:rPr>
        <w:t>织领导和具体实施，明确了工作职责和分工，制定了</w:t>
      </w:r>
      <w:r>
        <w:rPr>
          <w:color w:val="666666"/>
          <w:spacing w:val="-4"/>
        </w:rPr>
        <w:t>切实可行的评价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方案。根据各业务股室的情况汇报和提交的工作计划</w:t>
      </w:r>
      <w:r>
        <w:rPr>
          <w:color w:val="666666"/>
          <w:spacing w:val="-4"/>
        </w:rPr>
        <w:t>、工作总结等资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料，评价小组现场进行询查和核实，根据确定的评价</w:t>
      </w:r>
      <w:r>
        <w:rPr>
          <w:color w:val="666666"/>
          <w:spacing w:val="-4"/>
        </w:rPr>
        <w:t>指标、评价标准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和评价方法统一打分，形成自评结论。</w:t>
      </w:r>
    </w:p>
    <w:p w14:paraId="39F913DE">
      <w:pPr>
        <w:spacing w:line="312" w:lineRule="auto"/>
        <w:sectPr>
          <w:pgSz w:w="11906" w:h="16839"/>
          <w:pgMar w:top="400" w:right="1646" w:bottom="0" w:left="1785" w:header="0" w:footer="0" w:gutter="0"/>
          <w:cols w:space="720" w:num="1"/>
        </w:sectPr>
      </w:pPr>
    </w:p>
    <w:p w14:paraId="10F512A9">
      <w:pPr>
        <w:spacing w:line="274" w:lineRule="auto"/>
        <w:rPr>
          <w:rFonts w:ascii="Arial"/>
          <w:sz w:val="21"/>
        </w:rPr>
      </w:pPr>
    </w:p>
    <w:p w14:paraId="62CE8920">
      <w:pPr>
        <w:spacing w:line="274" w:lineRule="auto"/>
        <w:rPr>
          <w:rFonts w:ascii="Arial"/>
          <w:sz w:val="21"/>
        </w:rPr>
      </w:pPr>
    </w:p>
    <w:p w14:paraId="48B11F27">
      <w:pPr>
        <w:spacing w:line="274" w:lineRule="auto"/>
        <w:rPr>
          <w:rFonts w:ascii="Arial"/>
          <w:sz w:val="21"/>
        </w:rPr>
      </w:pPr>
    </w:p>
    <w:p w14:paraId="429C97B5">
      <w:pPr>
        <w:spacing w:line="274" w:lineRule="auto"/>
        <w:rPr>
          <w:rFonts w:ascii="Arial"/>
          <w:sz w:val="21"/>
        </w:rPr>
      </w:pPr>
    </w:p>
    <w:p w14:paraId="7DEB6F39">
      <w:pPr>
        <w:pStyle w:val="2"/>
        <w:spacing w:before="120" w:line="311" w:lineRule="auto"/>
        <w:ind w:left="18" w:firstLine="558"/>
        <w:jc w:val="both"/>
      </w:pPr>
      <w:r>
        <w:rPr>
          <w:color w:val="666666"/>
          <w:spacing w:val="-1"/>
        </w:rPr>
        <w:t>我局 2022 年度严格执行年初部门预算，资金使用及管理规范，</w:t>
      </w:r>
      <w:r>
        <w:rPr>
          <w:color w:val="666666"/>
          <w:spacing w:val="16"/>
        </w:rPr>
        <w:t xml:space="preserve"> </w:t>
      </w:r>
      <w:r>
        <w:rPr>
          <w:color w:val="666666"/>
          <w:spacing w:val="-3"/>
        </w:rPr>
        <w:t>制度落实到位，绩效考核目标任务圆满完成，按</w:t>
      </w:r>
      <w:r>
        <w:rPr>
          <w:color w:val="666666"/>
          <w:spacing w:val="-4"/>
        </w:rPr>
        <w:t>照部门整体支出绩效</w:t>
      </w:r>
      <w:r>
        <w:rPr>
          <w:color w:val="666666"/>
        </w:rPr>
        <w:t xml:space="preserve">  </w:t>
      </w:r>
      <w:r>
        <w:rPr>
          <w:color w:val="666666"/>
          <w:spacing w:val="-1"/>
        </w:rPr>
        <w:t>评价指标体系对照打分得出结果为 95 分，等级</w:t>
      </w:r>
      <w:r>
        <w:rPr>
          <w:color w:val="666666"/>
          <w:spacing w:val="-2"/>
        </w:rPr>
        <w:t>为优秀。</w:t>
      </w:r>
    </w:p>
    <w:p w14:paraId="3A9D1D3E">
      <w:pPr>
        <w:pStyle w:val="2"/>
        <w:spacing w:before="109" w:line="185" w:lineRule="auto"/>
        <w:ind w:left="581"/>
        <w:outlineLvl w:val="1"/>
      </w:pPr>
      <w:r>
        <w:rPr>
          <w:b/>
          <w:bCs/>
          <w:color w:val="666666"/>
          <w:spacing w:val="-4"/>
        </w:rPr>
        <w:t>三、主要绩效及评价结论</w:t>
      </w:r>
    </w:p>
    <w:p w14:paraId="07E5D7B2">
      <w:pPr>
        <w:pStyle w:val="2"/>
        <w:spacing w:before="360" w:line="311" w:lineRule="auto"/>
        <w:ind w:left="17" w:right="64" w:firstLine="570"/>
        <w:jc w:val="both"/>
      </w:pPr>
      <w:r>
        <w:rPr>
          <w:color w:val="666666"/>
        </w:rPr>
        <w:t>2022 年部门整体支出绩效自评结果显示，我</w:t>
      </w:r>
      <w:r>
        <w:rPr>
          <w:color w:val="666666"/>
          <w:spacing w:val="-1"/>
        </w:rPr>
        <w:t>单位绩效管理情况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较为理想，达到了年初设定的各项绩效目标。所有</w:t>
      </w:r>
      <w:r>
        <w:rPr>
          <w:color w:val="666666"/>
          <w:spacing w:val="-4"/>
        </w:rPr>
        <w:t>资金使用严格按审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批程序办理、操作规范，会计核算结果真实、准确</w:t>
      </w:r>
      <w:r>
        <w:rPr>
          <w:color w:val="666666"/>
          <w:spacing w:val="-4"/>
        </w:rPr>
        <w:t>，各项支出严格按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照各项制度执行，按照部门整体支出绩效评价指标</w:t>
      </w:r>
      <w:r>
        <w:rPr>
          <w:color w:val="666666"/>
          <w:spacing w:val="-4"/>
        </w:rPr>
        <w:t>体系对照打分得出</w:t>
      </w:r>
      <w:r>
        <w:rPr>
          <w:color w:val="666666"/>
        </w:rPr>
        <w:t xml:space="preserve"> </w:t>
      </w:r>
      <w:r>
        <w:rPr>
          <w:color w:val="666666"/>
          <w:spacing w:val="-2"/>
        </w:rPr>
        <w:t>结果为 95 分，等级为优秀。</w:t>
      </w:r>
    </w:p>
    <w:p w14:paraId="45EF8EAD">
      <w:pPr>
        <w:pStyle w:val="2"/>
        <w:spacing w:before="111" w:line="184" w:lineRule="auto"/>
        <w:ind w:left="590"/>
        <w:outlineLvl w:val="1"/>
      </w:pPr>
      <w:r>
        <w:rPr>
          <w:b/>
          <w:bCs/>
          <w:color w:val="666666"/>
          <w:spacing w:val="-6"/>
        </w:rPr>
        <w:t>四、存在的问题</w:t>
      </w:r>
    </w:p>
    <w:p w14:paraId="10F09D55">
      <w:pPr>
        <w:pStyle w:val="2"/>
        <w:spacing w:before="359" w:line="184" w:lineRule="auto"/>
        <w:ind w:left="598"/>
      </w:pPr>
      <w:r>
        <w:rPr>
          <w:color w:val="666666"/>
          <w:spacing w:val="-2"/>
        </w:rPr>
        <w:t>1、部分项目资金拨付进度滞后。</w:t>
      </w:r>
    </w:p>
    <w:p w14:paraId="5BDCCA53">
      <w:pPr>
        <w:pStyle w:val="2"/>
        <w:spacing w:before="360" w:line="311" w:lineRule="auto"/>
        <w:ind w:left="16" w:right="50" w:firstLine="571"/>
        <w:jc w:val="both"/>
      </w:pPr>
      <w:r>
        <w:rPr>
          <w:color w:val="666666"/>
        </w:rPr>
        <w:t>2、</w:t>
      </w:r>
      <w:r>
        <w:rPr>
          <w:color w:val="666666"/>
          <w:spacing w:val="-55"/>
        </w:rPr>
        <w:t xml:space="preserve"> </w:t>
      </w:r>
      <w:r>
        <w:rPr>
          <w:color w:val="666666"/>
        </w:rPr>
        <w:t>内控制度需进一步完善，随着资金管理改革</w:t>
      </w:r>
      <w:r>
        <w:rPr>
          <w:color w:val="666666"/>
          <w:spacing w:val="-1"/>
        </w:rPr>
        <w:t>的进一步推进，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我单位内部机构进行了相应的优化，建立健全了财务</w:t>
      </w:r>
      <w:r>
        <w:rPr>
          <w:color w:val="666666"/>
          <w:spacing w:val="-4"/>
        </w:rPr>
        <w:t>管理制度、固定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资产管理制度、费用报销规程等制度，但仍需进一步</w:t>
      </w:r>
      <w:r>
        <w:rPr>
          <w:color w:val="666666"/>
          <w:spacing w:val="-4"/>
        </w:rPr>
        <w:t>强化财务约束监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督体制。</w:t>
      </w:r>
    </w:p>
    <w:p w14:paraId="15BE7FA9">
      <w:pPr>
        <w:pStyle w:val="2"/>
        <w:spacing w:before="114" w:line="184" w:lineRule="auto"/>
        <w:ind w:left="578"/>
        <w:outlineLvl w:val="1"/>
      </w:pPr>
      <w:r>
        <w:rPr>
          <w:b/>
          <w:bCs/>
          <w:color w:val="666666"/>
          <w:spacing w:val="-4"/>
        </w:rPr>
        <w:t>五、有关建议</w:t>
      </w:r>
    </w:p>
    <w:p w14:paraId="7CCBA432">
      <w:pPr>
        <w:pStyle w:val="2"/>
        <w:spacing w:before="358" w:line="311" w:lineRule="auto"/>
        <w:ind w:left="17" w:right="64" w:firstLine="721"/>
        <w:jc w:val="both"/>
      </w:pPr>
      <w:r>
        <w:rPr>
          <w:color w:val="666666"/>
          <w:spacing w:val="-5"/>
        </w:rPr>
        <w:t>1、科学合理编制预算，严格执行预算。进一步提高</w:t>
      </w:r>
      <w:r>
        <w:rPr>
          <w:color w:val="666666"/>
          <w:spacing w:val="-6"/>
        </w:rPr>
        <w:t>预算编制到</w:t>
      </w:r>
      <w:r>
        <w:rPr>
          <w:color w:val="666666"/>
        </w:rPr>
        <w:t xml:space="preserve"> </w:t>
      </w:r>
      <w:r>
        <w:rPr>
          <w:color w:val="666666"/>
          <w:spacing w:val="-3"/>
        </w:rPr>
        <w:t>位率，做准做全基本支出预算，做全项目支出预</w:t>
      </w:r>
      <w:r>
        <w:rPr>
          <w:color w:val="666666"/>
          <w:spacing w:val="-4"/>
        </w:rPr>
        <w:t>算，加强预算支出的</w:t>
      </w:r>
      <w:r>
        <w:rPr>
          <w:color w:val="666666"/>
        </w:rPr>
        <w:t xml:space="preserve"> 审核、跟踪及预算执行情况分析，提高预算编制严谨性和</w:t>
      </w:r>
      <w:r>
        <w:rPr>
          <w:color w:val="666666"/>
          <w:spacing w:val="-1"/>
        </w:rPr>
        <w:t>可控性。</w:t>
      </w:r>
    </w:p>
    <w:p w14:paraId="2CD599C5">
      <w:pPr>
        <w:spacing w:line="311" w:lineRule="auto"/>
        <w:sectPr>
          <w:pgSz w:w="11906" w:h="16839"/>
          <w:pgMar w:top="400" w:right="1734" w:bottom="0" w:left="1785" w:header="0" w:footer="0" w:gutter="0"/>
          <w:cols w:space="720" w:num="1"/>
        </w:sectPr>
      </w:pPr>
    </w:p>
    <w:p w14:paraId="6D2AC9F4">
      <w:pPr>
        <w:spacing w:line="274" w:lineRule="auto"/>
        <w:rPr>
          <w:rFonts w:ascii="Arial"/>
          <w:sz w:val="21"/>
        </w:rPr>
      </w:pPr>
    </w:p>
    <w:p w14:paraId="26905376">
      <w:pPr>
        <w:spacing w:line="274" w:lineRule="auto"/>
        <w:rPr>
          <w:rFonts w:ascii="Arial"/>
          <w:sz w:val="21"/>
        </w:rPr>
      </w:pPr>
    </w:p>
    <w:p w14:paraId="22B4E28E">
      <w:pPr>
        <w:spacing w:line="274" w:lineRule="auto"/>
        <w:rPr>
          <w:rFonts w:ascii="Arial"/>
          <w:sz w:val="21"/>
        </w:rPr>
      </w:pPr>
    </w:p>
    <w:p w14:paraId="3137A575">
      <w:pPr>
        <w:spacing w:line="275" w:lineRule="auto"/>
        <w:rPr>
          <w:rFonts w:ascii="Arial"/>
          <w:sz w:val="21"/>
        </w:rPr>
      </w:pPr>
    </w:p>
    <w:p w14:paraId="5321DA26">
      <w:pPr>
        <w:pStyle w:val="2"/>
        <w:spacing w:before="120" w:line="269" w:lineRule="auto"/>
        <w:ind w:left="16" w:firstLine="571"/>
      </w:pPr>
      <w:r>
        <w:rPr>
          <w:color w:val="666666"/>
        </w:rPr>
        <w:t>2、进一步加强项目资金管理。严格实行项目管理程序化，实现</w:t>
      </w:r>
      <w:r>
        <w:rPr>
          <w:color w:val="666666"/>
          <w:spacing w:val="2"/>
        </w:rPr>
        <w:t xml:space="preserve">   </w:t>
      </w:r>
      <w:r>
        <w:rPr>
          <w:color w:val="666666"/>
          <w:spacing w:val="-7"/>
        </w:rPr>
        <w:t>项目申报、实施、拨付、评价全流程监督与控制，规范</w:t>
      </w:r>
      <w:r>
        <w:rPr>
          <w:color w:val="666666"/>
          <w:spacing w:val="-8"/>
        </w:rPr>
        <w:t>专项资金管理，</w:t>
      </w:r>
      <w:r>
        <w:rPr>
          <w:color w:val="666666"/>
        </w:rPr>
        <w:t xml:space="preserve"> </w:t>
      </w:r>
      <w:r>
        <w:rPr>
          <w:color w:val="666666"/>
          <w:spacing w:val="-1"/>
        </w:rPr>
        <w:t>提高专项资金的使用效益。</w:t>
      </w:r>
    </w:p>
    <w:p w14:paraId="34ABDA16">
      <w:pPr>
        <w:pStyle w:val="2"/>
        <w:spacing w:before="360" w:line="248" w:lineRule="auto"/>
        <w:ind w:left="20" w:right="153" w:firstLine="572"/>
      </w:pPr>
      <w:r>
        <w:rPr>
          <w:color w:val="666666"/>
        </w:rPr>
        <w:t>3、进一步完善内部管理制度，提升管理效能，更好地履行生态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-1"/>
        </w:rPr>
        <w:t>文明建设职能。</w:t>
      </w:r>
    </w:p>
    <w:p w14:paraId="6AA80BA2">
      <w:pPr>
        <w:pStyle w:val="2"/>
        <w:spacing w:before="361" w:line="185" w:lineRule="auto"/>
        <w:ind w:left="577"/>
        <w:outlineLvl w:val="1"/>
      </w:pPr>
      <w:r>
        <w:rPr>
          <w:b/>
          <w:bCs/>
          <w:color w:val="666666"/>
          <w:spacing w:val="-4"/>
        </w:rPr>
        <w:t>六、其他需要说明的问题</w:t>
      </w:r>
    </w:p>
    <w:p w14:paraId="07D0305C">
      <w:pPr>
        <w:spacing w:line="260" w:lineRule="auto"/>
        <w:rPr>
          <w:rFonts w:ascii="Arial"/>
          <w:sz w:val="21"/>
        </w:rPr>
      </w:pPr>
    </w:p>
    <w:p w14:paraId="10EB62EA">
      <w:pPr>
        <w:pStyle w:val="2"/>
        <w:spacing w:before="121" w:line="171" w:lineRule="auto"/>
        <w:ind w:left="578"/>
      </w:pPr>
      <w:r>
        <w:rPr>
          <w:color w:val="666666"/>
          <w:spacing w:val="-3"/>
        </w:rPr>
        <w:t>无。</w:t>
      </w:r>
    </w:p>
    <w:sectPr>
      <w:pgSz w:w="11906" w:h="16839"/>
      <w:pgMar w:top="400" w:right="1646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9543B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749DEC"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FC1E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622935</wp:posOffset>
          </wp:positionV>
          <wp:extent cx="8858885" cy="656971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9011" cy="6569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A2123"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7FAC5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568325</wp:posOffset>
          </wp:positionV>
          <wp:extent cx="8857615" cy="5885815"/>
          <wp:effectExtent l="0" t="0" r="0" b="0"/>
          <wp:wrapNone/>
          <wp:docPr id="30" name="IM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7488" cy="5885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FF236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629285</wp:posOffset>
          </wp:positionV>
          <wp:extent cx="8860790" cy="5765165"/>
          <wp:effectExtent l="0" t="0" r="0" b="0"/>
          <wp:wrapNone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60535" cy="57652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BEBD8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YyNDM3ZDJhOGVmZDJmYjY4NWFhYThhMDJjYmRhYzIifQ=="/>
  </w:docVars>
  <w:rsids>
    <w:rsidRoot w:val="00000000"/>
    <w:rsid w:val="027A22DD"/>
    <w:rsid w:val="0488589A"/>
    <w:rsid w:val="06E710CA"/>
    <w:rsid w:val="15155054"/>
    <w:rsid w:val="23B81858"/>
    <w:rsid w:val="3BE12C68"/>
    <w:rsid w:val="5D0D153D"/>
    <w:rsid w:val="6D59432D"/>
    <w:rsid w:val="72EB44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theme" Target="theme/theme1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53</Pages>
  <Words>15470</Words>
  <Characters>17068</Characters>
  <TotalTime>8</TotalTime>
  <ScaleCrop>false</ScaleCrop>
  <LinksUpToDate>false</LinksUpToDate>
  <CharactersWithSpaces>18576</CharactersWithSpaces>
  <Application>WPS Office_12.1.0.17468_F1E327BC-269C-435d-A152-05C5408002CA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2024-08-09T11:38:00Z</dcterms:created>
  <dc:creator>贝</dc:creator>
  <cp:lastModifiedBy>左右</cp:lastModifiedBy>
  <dcterms:modified xsi:type="dcterms:W3CDTF">2024-09-02T03:11:43Z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2024-08-09T11:45:00Z</vt:filetime>
  </property>
  <property fmtid="{D5CDD505-2E9C-101B-9397-08002B2CF9AE}" pid="4" name="KSOProductBuildVer">
    <vt:lpwstr>2052-12.1.0.17468</vt:lpwstr>
  </property>
  <property fmtid="{D5CDD505-2E9C-101B-9397-08002B2CF9AE}" pid="5" name="ICV">
    <vt:lpwstr>D053059646C3447EAD71CC6F03B23A5F_13</vt:lpwstr>
  </property>
</Properties>
</file>