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Theme="minorEastAsia" w:hAnsiTheme="minorEastAsia" w:eastAsiaTheme="minorEastAsia"/>
          <w:sz w:val="84"/>
          <w:szCs w:val="84"/>
        </w:rPr>
      </w:pPr>
      <w:r>
        <w:rPr>
          <w:rFonts w:hint="eastAsia" w:asciiTheme="minorEastAsia" w:hAnsiTheme="minorEastAsia" w:eastAsiaTheme="minorEastAsia"/>
          <w:sz w:val="84"/>
          <w:szCs w:val="84"/>
        </w:rPr>
        <w:t>祁阳市大忠桥镇人民政府</w:t>
      </w: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ascii="方正小标宋_GBK" w:hAnsi="方正小标宋_GBK" w:eastAsia="方正小标宋_GBK" w:cs="方正小标宋_GBK"/>
          <w:sz w:val="56"/>
          <w:szCs w:val="56"/>
        </w:rPr>
      </w:pPr>
    </w:p>
    <w:p>
      <w:pPr>
        <w:pStyle w:val="12"/>
        <w:jc w:val="left"/>
        <w:rPr>
          <w:rFonts w:hint="eastAsia"/>
          <w:sz w:val="36"/>
          <w:szCs w:val="36"/>
          <w:lang w:val="en-US" w:eastAsia="zh-CN"/>
        </w:rPr>
      </w:pPr>
    </w:p>
    <w:p>
      <w:pPr>
        <w:pStyle w:val="12"/>
        <w:jc w:val="left"/>
        <w:rPr>
          <w:rFonts w:hint="eastAsia"/>
          <w:sz w:val="36"/>
          <w:szCs w:val="36"/>
          <w:lang w:val="en-US" w:eastAsia="zh-CN"/>
        </w:rPr>
      </w:pPr>
    </w:p>
    <w:p>
      <w:pPr>
        <w:pStyle w:val="12"/>
        <w:jc w:val="left"/>
        <w:rPr>
          <w:rFonts w:hint="eastAsia"/>
          <w:sz w:val="36"/>
          <w:szCs w:val="36"/>
          <w:lang w:val="en-US" w:eastAsia="zh-CN"/>
        </w:rPr>
      </w:pPr>
    </w:p>
    <w:p>
      <w:pPr>
        <w:pStyle w:val="12"/>
        <w:jc w:val="left"/>
        <w:rPr>
          <w:rFonts w:hint="eastAsia"/>
          <w:sz w:val="36"/>
          <w:szCs w:val="36"/>
          <w:lang w:val="en-US" w:eastAsia="zh-CN"/>
        </w:rPr>
      </w:pPr>
      <w:r>
        <w:rPr>
          <w:rFonts w:hint="eastAsia"/>
          <w:sz w:val="36"/>
          <w:szCs w:val="36"/>
          <w:lang w:val="en-US" w:eastAsia="zh-CN"/>
        </w:rPr>
        <w:t>单位负责人：    唐贵军</w:t>
      </w:r>
    </w:p>
    <w:p>
      <w:pPr>
        <w:pStyle w:val="12"/>
        <w:jc w:val="left"/>
        <w:rPr>
          <w:rFonts w:hint="eastAsia"/>
          <w:sz w:val="36"/>
          <w:szCs w:val="36"/>
          <w:lang w:val="en-US" w:eastAsia="zh-CN"/>
        </w:rPr>
      </w:pPr>
      <w:r>
        <w:rPr>
          <w:rFonts w:hint="eastAsia"/>
          <w:sz w:val="36"/>
          <w:szCs w:val="36"/>
          <w:lang w:val="en-US" w:eastAsia="zh-CN"/>
        </w:rPr>
        <w:t>主管财政负责人：陈建江</w:t>
      </w:r>
      <w:bookmarkStart w:id="3" w:name="_GoBack"/>
      <w:bookmarkEnd w:id="3"/>
    </w:p>
    <w:p>
      <w:pPr>
        <w:pStyle w:val="12"/>
        <w:jc w:val="left"/>
        <w:rPr>
          <w:rFonts w:hint="eastAsia"/>
          <w:sz w:val="36"/>
          <w:szCs w:val="36"/>
          <w:lang w:val="en-US" w:eastAsia="zh-CN"/>
        </w:rPr>
      </w:pPr>
      <w:r>
        <w:rPr>
          <w:rFonts w:hint="eastAsia"/>
          <w:sz w:val="36"/>
          <w:szCs w:val="36"/>
          <w:lang w:val="en-US" w:eastAsia="zh-CN"/>
        </w:rPr>
        <w:t>财政所长：      唐新军</w:t>
      </w:r>
    </w:p>
    <w:p>
      <w:pPr>
        <w:pStyle w:val="12"/>
        <w:jc w:val="left"/>
        <w:rPr>
          <w:rFonts w:hint="default"/>
          <w:sz w:val="36"/>
          <w:szCs w:val="36"/>
          <w:lang w:val="en-US" w:eastAsia="zh-CN"/>
        </w:rPr>
      </w:pPr>
      <w:r>
        <w:rPr>
          <w:rFonts w:hint="eastAsia"/>
          <w:sz w:val="36"/>
          <w:szCs w:val="36"/>
          <w:lang w:val="en-US" w:eastAsia="zh-CN"/>
        </w:rPr>
        <w:t>报表人：        庄启程</w:t>
      </w: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hAnsi="黑体"/>
          <w:bCs/>
          <w:sz w:val="28"/>
          <w:szCs w:val="28"/>
        </w:rPr>
      </w:pPr>
      <w:r>
        <w:rPr>
          <w:rFonts w:hint="eastAsia" w:hAnsi="黑体"/>
          <w:bCs/>
          <w:sz w:val="28"/>
          <w:szCs w:val="28"/>
        </w:rPr>
        <w:t xml:space="preserve">第一部分 </w:t>
      </w:r>
      <w:r>
        <w:rPr>
          <w:rFonts w:hint="eastAsia" w:asciiTheme="minorEastAsia" w:hAnsiTheme="minorEastAsia" w:eastAsiaTheme="minorEastAsia"/>
          <w:b/>
          <w:sz w:val="28"/>
          <w:szCs w:val="28"/>
        </w:rPr>
        <w:t>祁阳市大忠桥镇人民政府</w:t>
      </w:r>
      <w:r>
        <w:rPr>
          <w:rFonts w:hint="eastAsia" w:hAnsi="黑体"/>
          <w:bCs/>
          <w:sz w:val="28"/>
          <w:szCs w:val="28"/>
        </w:rPr>
        <w:t>概况</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Ansi="黑体"/>
          <w:bCs/>
          <w:sz w:val="28"/>
          <w:szCs w:val="28"/>
        </w:rPr>
      </w:pPr>
      <w:r>
        <w:rPr>
          <w:rFonts w:hint="eastAsia" w:hAnsi="黑体"/>
          <w:bCs/>
          <w:sz w:val="28"/>
          <w:szCs w:val="28"/>
        </w:rPr>
        <w:t>第二部分 部门决算表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Ansi="黑体"/>
          <w:bCs/>
          <w:sz w:val="28"/>
          <w:szCs w:val="28"/>
        </w:rPr>
      </w:pPr>
      <w:r>
        <w:rPr>
          <w:rFonts w:hint="eastAsia" w:hAnsi="黑体"/>
          <w:bCs/>
          <w:sz w:val="28"/>
          <w:szCs w:val="28"/>
        </w:rPr>
        <w:t>第三部分 部门决算情况说明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Ansi="黑体"/>
          <w:bCs/>
          <w:sz w:val="28"/>
          <w:szCs w:val="28"/>
        </w:rPr>
      </w:pPr>
      <w:r>
        <w:rPr>
          <w:rFonts w:hint="eastAsia" w:hAnsi="黑体"/>
          <w:bCs/>
          <w:sz w:val="28"/>
          <w:szCs w:val="28"/>
        </w:rPr>
        <w:t>第四部分 名词解释</w:t>
      </w:r>
    </w:p>
    <w:p>
      <w:pPr>
        <w:pStyle w:val="12"/>
        <w:spacing w:line="500" w:lineRule="exact"/>
        <w:rPr>
          <w:rFonts w:hAnsi="黑体"/>
          <w:bCs/>
          <w:sz w:val="28"/>
          <w:szCs w:val="28"/>
        </w:rPr>
      </w:pPr>
      <w:r>
        <w:rPr>
          <w:rFonts w:hint="eastAsia" w:hAnsi="黑体"/>
          <w:bCs/>
          <w:sz w:val="28"/>
          <w:szCs w:val="28"/>
        </w:rPr>
        <w:t>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ascii="方正小标宋_GBK" w:hAnsi="方正小标宋_GBK" w:eastAsia="方正小标宋_GBK" w:cs="方正小标宋_GBK"/>
          <w:sz w:val="84"/>
          <w:szCs w:val="84"/>
        </w:rPr>
      </w:pPr>
    </w:p>
    <w:p>
      <w:pPr>
        <w:pStyle w:val="12"/>
        <w:jc w:val="center"/>
        <w:rPr>
          <w:rFonts w:hint="eastAsia" w:asciiTheme="minorEastAsia" w:hAnsiTheme="minorEastAsia" w:eastAsiaTheme="minorEastAsia"/>
          <w:sz w:val="84"/>
          <w:szCs w:val="84"/>
        </w:rPr>
      </w:pPr>
      <w:r>
        <w:rPr>
          <w:rFonts w:hint="eastAsia" w:asciiTheme="minorEastAsia" w:hAnsiTheme="minorEastAsia" w:eastAsiaTheme="minorEastAsia"/>
          <w:sz w:val="84"/>
          <w:szCs w:val="84"/>
        </w:rPr>
        <w:t>祁阳市大忠桥镇人民政府</w:t>
      </w: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pStyle w:val="12"/>
        <w:jc w:val="center"/>
        <w:rPr>
          <w:rFonts w:ascii="方正小标宋_GBK" w:hAnsi="方正小标宋_GBK" w:eastAsia="方正小标宋_GBK" w:cs="方正小标宋_GBK"/>
          <w:sz w:val="84"/>
          <w:szCs w:val="84"/>
        </w:rPr>
      </w:pPr>
    </w:p>
    <w:p>
      <w:pPr>
        <w:pStyle w:val="12"/>
        <w:jc w:val="center"/>
        <w:rPr>
          <w:rFonts w:ascii="方正小标宋_GBK" w:hAnsi="方正小标宋_GBK" w:eastAsia="方正小标宋_GBK" w:cs="方正小标宋_GBK"/>
          <w:sz w:val="84"/>
          <w:szCs w:val="84"/>
        </w:rPr>
      </w:pPr>
    </w:p>
    <w:p>
      <w:pPr>
        <w:pStyle w:val="12"/>
        <w:jc w:val="center"/>
        <w:rPr>
          <w:rFonts w:ascii="方正小标宋_GBK" w:hAnsi="方正小标宋_GBK" w:eastAsia="方正小标宋_GBK" w:cs="方正小标宋_GBK"/>
          <w:sz w:val="84"/>
          <w:szCs w:val="84"/>
        </w:rPr>
      </w:pPr>
    </w:p>
    <w:p>
      <w:pPr>
        <w:jc w:val="center"/>
        <w:rPr>
          <w:rFonts w:ascii="方正小标宋_GBK" w:hAnsi="方正小标宋_GBK" w:eastAsia="方正小标宋_GBK" w:cs="方正小标宋_GBK"/>
          <w:sz w:val="72"/>
          <w:szCs w:val="72"/>
        </w:rPr>
      </w:pPr>
    </w:p>
    <w:p>
      <w:pPr>
        <w:jc w:val="both"/>
        <w:rPr>
          <w:sz w:val="72"/>
          <w:szCs w:val="72"/>
        </w:rPr>
      </w:pPr>
    </w:p>
    <w:p>
      <w:pPr>
        <w:pStyle w:val="13"/>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widowControl/>
        <w:spacing w:line="600" w:lineRule="atLeast"/>
        <w:ind w:firstLine="627"/>
        <w:jc w:val="left"/>
        <w:rPr>
          <w:rFonts w:asciiTheme="minorEastAsia" w:hAnsiTheme="minorEastAsia" w:cstheme="minorEastAsia"/>
          <w:sz w:val="32"/>
          <w:szCs w:val="32"/>
        </w:rPr>
      </w:pPr>
      <w:r>
        <w:rPr>
          <w:rFonts w:hint="eastAsia" w:asciiTheme="minorEastAsia" w:hAnsiTheme="minorEastAsia" w:cstheme="minorEastAsia"/>
          <w:kern w:val="0"/>
          <w:sz w:val="32"/>
          <w:szCs w:val="32"/>
          <w:shd w:val="clear" w:color="auto" w:fill="FFFFFF"/>
          <w:lang w:bidi="ar"/>
        </w:rPr>
        <w:t>1.</w:t>
      </w:r>
      <w:r>
        <w:rPr>
          <w:rFonts w:hint="eastAsia" w:asciiTheme="minorEastAsia" w:hAnsiTheme="minorEastAsia" w:cstheme="minorEastAsia"/>
          <w:sz w:val="32"/>
          <w:szCs w:val="32"/>
          <w:shd w:val="clear" w:color="auto" w:fill="FFFFFF"/>
        </w:rPr>
        <w:t xml:space="preserve"> 在上级和镇党委领导下，执行本级人民代表大会的决议，根据上级行政机关的决定和命令，制定具体实施意见。</w:t>
      </w:r>
    </w:p>
    <w:p>
      <w:pPr>
        <w:widowControl/>
        <w:spacing w:line="560" w:lineRule="exact"/>
        <w:ind w:firstLine="640"/>
        <w:jc w:val="left"/>
        <w:rPr>
          <w:rFonts w:asciiTheme="minorEastAsia" w:hAnsiTheme="minorEastAsia" w:cstheme="minorEastAsia"/>
          <w:sz w:val="32"/>
          <w:szCs w:val="32"/>
        </w:rPr>
      </w:pPr>
      <w:r>
        <w:rPr>
          <w:rFonts w:hint="eastAsia" w:asciiTheme="minorEastAsia" w:hAnsiTheme="minorEastAsia" w:cstheme="minorEastAsia"/>
          <w:kern w:val="0"/>
          <w:sz w:val="32"/>
          <w:szCs w:val="32"/>
          <w:shd w:val="clear" w:color="auto" w:fill="FFFFFF"/>
          <w:lang w:bidi="ar"/>
        </w:rPr>
        <w:t>2.</w:t>
      </w:r>
      <w:r>
        <w:rPr>
          <w:rFonts w:hint="eastAsia" w:asciiTheme="minorEastAsia" w:hAnsiTheme="minorEastAsia" w:cstheme="minorEastAsia"/>
          <w:sz w:val="32"/>
          <w:szCs w:val="32"/>
          <w:shd w:val="clear" w:color="auto" w:fill="FFFFFF"/>
        </w:rPr>
        <w:t xml:space="preserve"> 执行本行政区域内的经济和社会发展计划、财政预算，管理全镇的农业、工业及教育、科枝、文化、卫生、计划生育、民政、司法及镇新农村规划和建设、环境保护、土地等行政工作。</w:t>
      </w:r>
    </w:p>
    <w:p>
      <w:pPr>
        <w:widowControl/>
        <w:spacing w:line="600" w:lineRule="atLeast"/>
        <w:ind w:firstLine="627"/>
        <w:jc w:val="left"/>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3、保护集体财产和公民私人合法财产，维护社会秩序，保障公民的人事权利、民主权利和其他合法权利。</w:t>
      </w:r>
    </w:p>
    <w:p>
      <w:pPr>
        <w:widowControl/>
        <w:spacing w:line="600" w:lineRule="atLeast"/>
        <w:ind w:firstLine="627"/>
        <w:jc w:val="left"/>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4、保护各种经济组织的合法权益。</w:t>
      </w:r>
    </w:p>
    <w:p>
      <w:pPr>
        <w:widowControl/>
        <w:spacing w:line="600" w:lineRule="atLeast"/>
        <w:ind w:firstLine="627"/>
        <w:jc w:val="left"/>
        <w:rPr>
          <w:rFonts w:asciiTheme="minorEastAsia" w:hAnsiTheme="minorEastAsia" w:cstheme="minorEastAsia"/>
          <w:color w:val="493F43"/>
          <w:kern w:val="0"/>
          <w:sz w:val="32"/>
          <w:szCs w:val="32"/>
          <w:shd w:val="clear" w:color="auto" w:fill="FFFFFF"/>
        </w:rPr>
      </w:pPr>
      <w:r>
        <w:rPr>
          <w:rFonts w:hint="eastAsia" w:asciiTheme="minorEastAsia" w:hAnsiTheme="minorEastAsia" w:cstheme="minorEastAsia"/>
          <w:sz w:val="32"/>
          <w:szCs w:val="32"/>
          <w:shd w:val="clear" w:color="auto" w:fill="FFFFFF"/>
        </w:rPr>
        <w:t>5、办理上级人民政府交办的其他事项。</w:t>
      </w:r>
      <w:r>
        <w:rPr>
          <w:rFonts w:hint="eastAsia" w:asciiTheme="minorEastAsia" w:hAnsiTheme="minorEastAsia" w:cstheme="minorEastAsia"/>
          <w:color w:val="493F43"/>
          <w:kern w:val="0"/>
          <w:sz w:val="32"/>
          <w:szCs w:val="32"/>
          <w:shd w:val="clear" w:color="auto" w:fill="FFFFFF"/>
        </w:rPr>
        <w:t xml:space="preserve">  </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pStyle w:val="7"/>
        <w:spacing w:before="0" w:beforeAutospacing="0" w:after="212" w:afterAutospacing="0" w:line="440" w:lineRule="atLeast"/>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（一）内设机构设置</w:t>
      </w:r>
      <w:r>
        <w:rPr>
          <w:rFonts w:hint="eastAsia" w:asciiTheme="minorEastAsia" w:hAnsiTheme="minorEastAsia" w:eastAsiaTheme="minorEastAsia" w:cstheme="minorEastAsia"/>
          <w:kern w:val="2"/>
          <w:sz w:val="32"/>
          <w:szCs w:val="32"/>
          <w:shd w:val="clear" w:color="auto" w:fill="FFFFFF"/>
          <w:lang w:val="en-US" w:eastAsia="zh-CN" w:bidi="ar-SA"/>
        </w:rPr>
        <w:t>。大忠桥镇人民政府内设机构包括：大忠桥镇机关，管理36个村级转移支付单位为：3个农村社区：大忠社区、茅坪坊社区、西河街社区；33个自然村：同心村、新马江村、双凤村、远景村、华羊村、和平村、星星村、沙井村、茶山村、白毛窝村、日晖塘村、金旗村、盐江村、广福村、蔗塘村、开阳岗村、毛家新村、和睦山村、黄家桥村、梅湾村、合兴村、永星村、冲头村、饶塘村、镰头湾村、五里山村、民星村、江边村、三合村、胜利村、大祝村、祝兴村、烟塘村。</w:t>
      </w:r>
    </w:p>
    <w:p>
      <w:pPr>
        <w:pStyle w:val="7"/>
        <w:spacing w:before="0" w:beforeAutospacing="0" w:after="212" w:afterAutospacing="0" w:line="440" w:lineRule="atLeast"/>
        <w:ind w:firstLine="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（二）决算单位构成。大忠桥镇人民政府202</w:t>
      </w: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rPr>
        <w:t>年部门决算汇总公开单位构成包括：</w:t>
      </w:r>
      <w:r>
        <w:rPr>
          <w:rFonts w:hint="eastAsia" w:asciiTheme="minorEastAsia" w:hAnsiTheme="minorEastAsia" w:eastAsiaTheme="minorEastAsia" w:cstheme="minorEastAsia"/>
          <w:kern w:val="2"/>
          <w:sz w:val="32"/>
          <w:szCs w:val="32"/>
          <w:shd w:val="clear" w:color="auto" w:fill="FFFFFF"/>
          <w:lang w:val="en-US" w:eastAsia="zh-CN" w:bidi="ar-SA"/>
        </w:rPr>
        <w:t>大忠桥镇人民政府本级。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2"/>
        <w:jc w:val="both"/>
        <w:rPr>
          <w:rFonts w:hint="eastAsia" w:ascii="方正小标宋_GBK" w:hAnsi="方正小标宋_GBK" w:eastAsia="方正小标宋_GBK" w:cs="方正小标宋_GBK"/>
          <w:sz w:val="84"/>
          <w:szCs w:val="84"/>
        </w:rPr>
      </w:pP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ascii="方正小标宋_GBK" w:hAnsi="方正小标宋_GBK" w:eastAsia="方正小标宋_GBK" w:cs="方正小标宋_GBK"/>
          <w:sz w:val="84"/>
          <w:szCs w:val="84"/>
        </w:rPr>
      </w:pP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97"/>
        <w:gridCol w:w="766"/>
        <w:gridCol w:w="3720"/>
        <w:gridCol w:w="1665"/>
        <w:gridCol w:w="1635"/>
        <w:gridCol w:w="1545"/>
        <w:gridCol w:w="1365"/>
        <w:gridCol w:w="1515"/>
        <w:gridCol w:w="1440"/>
        <w:gridCol w:w="1480"/>
      </w:tblGrid>
      <w:tr>
        <w:tblPrEx>
          <w:tblCellMar>
            <w:top w:w="0" w:type="dxa"/>
            <w:left w:w="0" w:type="dxa"/>
            <w:bottom w:w="0" w:type="dxa"/>
            <w:right w:w="0" w:type="dxa"/>
          </w:tblCellMar>
        </w:tblPrEx>
        <w:trPr>
          <w:trHeight w:val="9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499" w:type="dxa"/>
              <w:tblInd w:w="0" w:type="dxa"/>
              <w:tblLayout w:type="fixed"/>
              <w:tblCellMar>
                <w:top w:w="0" w:type="dxa"/>
                <w:left w:w="108" w:type="dxa"/>
                <w:bottom w:w="0" w:type="dxa"/>
                <w:right w:w="108" w:type="dxa"/>
              </w:tblCellMar>
            </w:tblPr>
            <w:tblGrid>
              <w:gridCol w:w="3853"/>
              <w:gridCol w:w="765"/>
              <w:gridCol w:w="2580"/>
              <w:gridCol w:w="3390"/>
              <w:gridCol w:w="236"/>
              <w:gridCol w:w="589"/>
              <w:gridCol w:w="2625"/>
              <w:gridCol w:w="1360"/>
              <w:gridCol w:w="101"/>
            </w:tblGrid>
            <w:tr>
              <w:tblPrEx>
                <w:tblCellMar>
                  <w:top w:w="0" w:type="dxa"/>
                  <w:left w:w="108" w:type="dxa"/>
                  <w:bottom w:w="0" w:type="dxa"/>
                  <w:right w:w="108" w:type="dxa"/>
                </w:tblCellMar>
              </w:tblPrEx>
              <w:trPr>
                <w:trHeight w:val="304" w:hRule="atLeast"/>
              </w:trPr>
              <w:tc>
                <w:tcPr>
                  <w:tcW w:w="3853"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765"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580"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3390"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36"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675" w:type="dxa"/>
                  <w:gridSpan w:val="4"/>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gridAfter w:val="1"/>
                <w:wAfter w:w="101" w:type="dxa"/>
                <w:trHeight w:val="609" w:hRule="atLeast"/>
              </w:trPr>
              <w:tc>
                <w:tcPr>
                  <w:tcW w:w="15398"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3853"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6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58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339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675" w:type="dxa"/>
                  <w:gridSpan w:val="4"/>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3853"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p>
              </w:tc>
              <w:tc>
                <w:tcPr>
                  <w:tcW w:w="76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58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339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675" w:type="dxa"/>
                  <w:gridSpan w:val="4"/>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1461" w:type="dxa"/>
                <w:trHeight w:val="448" w:hRule="atLeast"/>
              </w:trPr>
              <w:tc>
                <w:tcPr>
                  <w:tcW w:w="71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2"/>
                <w:wAfter w:w="1461" w:type="dxa"/>
                <w:trHeight w:val="62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2230.72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一、一般公共服务支出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1356.91</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41.42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二、外交支出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三、国防支出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四、公共安全支出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0.79</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五、教育支出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六、科学技术支出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七、文化旅游体育与传媒支出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八、社会保障和就业支出　</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112.96</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九、卫生健康支出　</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39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48.40</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十、节能环保支出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十一、城乡社区支出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41.42</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十二、农林水支出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708.00</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十三、交通运输支出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十四、资源勘探工业信息等支出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十五、商业服务业等支出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45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十六、金融支出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46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十七、援助其他地区支出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47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90"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十八、自然资源海洋气象等支出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48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十九、住房保障支出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49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二十、粮油物资储备支出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二十一、国有资本经营预算支出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二十二、灾害防治及应急管理支出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3.65</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二十三、其他支出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二十四、债务还本支出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二十五、债务付息支出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lang w:val="en-US"/>
                    </w:rPr>
                  </w:pPr>
                  <w:r>
                    <w:rPr>
                      <w:rFonts w:hint="eastAsia" w:ascii="宋体" w:hAnsi="宋体" w:eastAsia="宋体" w:cs="宋体"/>
                      <w:color w:val="000000"/>
                      <w:kern w:val="0"/>
                      <w:sz w:val="22"/>
                      <w:lang w:val="en-US" w:eastAsia="zh-CN"/>
                    </w:rPr>
                    <w:t>26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二十六、抗疫特别国债安排的支出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2272.13</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2272.13</w:t>
                  </w: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62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59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2"/>
                <w:wAfter w:w="1461" w:type="dxa"/>
                <w:trHeight w:val="448" w:hRule="atLeast"/>
              </w:trPr>
              <w:tc>
                <w:tcPr>
                  <w:tcW w:w="3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30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2272.13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Cs w:val="21"/>
                      <w:lang w:bidi="ar"/>
                    </w:rPr>
                    <w:t>60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2272.13</w:t>
                  </w:r>
                </w:p>
              </w:tc>
            </w:tr>
            <w:tr>
              <w:tblPrEx>
                <w:tblCellMar>
                  <w:top w:w="0" w:type="dxa"/>
                  <w:left w:w="108" w:type="dxa"/>
                  <w:bottom w:w="0" w:type="dxa"/>
                  <w:right w:w="108" w:type="dxa"/>
                </w:tblCellMar>
              </w:tblPrEx>
              <w:trPr>
                <w:gridAfter w:val="1"/>
                <w:wAfter w:w="101" w:type="dxa"/>
                <w:trHeight w:val="1015" w:hRule="atLeast"/>
              </w:trPr>
              <w:tc>
                <w:tcPr>
                  <w:tcW w:w="15398" w:type="dxa"/>
                  <w:gridSpan w:val="8"/>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注：1.本表反映部门本年度的总收支和年末结转结余情况。</w:t>
                  </w:r>
                </w:p>
                <w:p>
                  <w:pPr>
                    <w:pStyle w:val="2"/>
                    <w:rPr>
                      <w:rFonts w:hint="eastAsia"/>
                      <w:lang w:eastAsia="zh-CN"/>
                    </w:rPr>
                  </w:pP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7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color w:val="000000"/>
                <w:sz w:val="20"/>
                <w:szCs w:val="20"/>
              </w:rPr>
              <w:t>部门：</w:t>
            </w:r>
            <w:r>
              <w:rPr>
                <w:rFonts w:hint="eastAsia" w:asciiTheme="minorEastAsia" w:hAnsiTheme="minorEastAsia"/>
                <w:szCs w:val="21"/>
              </w:rPr>
              <w:t>祁阳市大忠桥镇人民政府</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7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6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7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6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7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7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7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2272.13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2272.13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一般公共服务支出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1356.91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政府办公厅（室）及相关机构事务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1356.91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1209.71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1209.71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2010302</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一般行政管理事务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125.55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125.55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2010399</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其他政府办公厅（室）及相关机构事务支出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21.66</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21.66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204</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公共安全支出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0.79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20499</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其他公共安全支出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0.79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2049999</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其他公共安全支出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0.79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w:t>
            </w:r>
          </w:p>
        </w:tc>
        <w:tc>
          <w:tcPr>
            <w:tcW w:w="37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社会保障和就业支出</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112.96</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112.96</w:t>
            </w:r>
          </w:p>
        </w:tc>
        <w:tc>
          <w:tcPr>
            <w:tcW w:w="15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w:t>
            </w:r>
          </w:p>
        </w:tc>
        <w:tc>
          <w:tcPr>
            <w:tcW w:w="37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行政事业单位养老支出</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109.78</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5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2080505</w:t>
            </w:r>
          </w:p>
        </w:tc>
        <w:tc>
          <w:tcPr>
            <w:tcW w:w="37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机关事业单位基本养老保险缴费支出</w:t>
            </w:r>
          </w:p>
        </w:tc>
        <w:tc>
          <w:tcPr>
            <w:tcW w:w="16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109.78</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5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20808</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抚恤</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3.19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2080801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死亡抚恤</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3.19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卫生健康支出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48.40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行政事业单位医疗</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48.40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2101101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行政单位医疗</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48.40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城乡社区支出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41.42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41.42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2120</w:t>
            </w:r>
            <w:r>
              <w:rPr>
                <w:rFonts w:hint="eastAsia" w:asciiTheme="minorEastAsia" w:hAnsiTheme="minorEastAsia" w:cstheme="minorEastAsia"/>
                <w:color w:val="000000"/>
                <w:szCs w:val="21"/>
                <w:lang w:val="en-US" w:eastAsia="zh-CN"/>
              </w:rPr>
              <w:t>8</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国有土地使用权出让收入安排的支出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40.23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40.23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16</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农业农村生态环境支出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25.75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25.75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99</w:t>
            </w:r>
          </w:p>
        </w:tc>
        <w:tc>
          <w:tcPr>
            <w:tcW w:w="37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其他国有土地使用权出让收入安排的支出</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14.48</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14.48</w:t>
            </w:r>
          </w:p>
        </w:tc>
        <w:tc>
          <w:tcPr>
            <w:tcW w:w="15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21213</w:t>
            </w:r>
          </w:p>
        </w:tc>
        <w:tc>
          <w:tcPr>
            <w:tcW w:w="37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城市基础设施配套费安排的支出</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1.19</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w:t>
            </w:r>
          </w:p>
        </w:tc>
        <w:tc>
          <w:tcPr>
            <w:tcW w:w="15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2121399</w:t>
            </w:r>
          </w:p>
        </w:tc>
        <w:tc>
          <w:tcPr>
            <w:tcW w:w="37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其他城市基础设施配套费安排的支出</w:t>
            </w:r>
          </w:p>
        </w:tc>
        <w:tc>
          <w:tcPr>
            <w:tcW w:w="16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1.19</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w:t>
            </w:r>
          </w:p>
        </w:tc>
        <w:tc>
          <w:tcPr>
            <w:tcW w:w="15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农林水支出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708.00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708.00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农业农村</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1.53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2130199</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其他农业农村支出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1.53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农村综合改革</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706.47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706.47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1</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对</w:t>
            </w:r>
            <w:r>
              <w:rPr>
                <w:rFonts w:hint="eastAsia" w:asciiTheme="minorEastAsia" w:hAnsiTheme="minorEastAsia" w:cstheme="minorEastAsia"/>
                <w:color w:val="000000"/>
                <w:sz w:val="18"/>
                <w:szCs w:val="18"/>
                <w:lang w:val="en-US" w:eastAsia="zh-CN"/>
              </w:rPr>
              <w:t>村级公益事业建设的补助</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5</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对村民委员会和村党支部的补助</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690.42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690.42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bidi="ar-SA"/>
              </w:rPr>
              <w:t>2130799</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其他农村综合改革支出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10.05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灾害防治及应急管理支出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cs="宋体"/>
                <w:sz w:val="24"/>
                <w:szCs w:val="24"/>
                <w:lang w:val="en-US"/>
              </w:rPr>
            </w:pPr>
            <w:r>
              <w:rPr>
                <w:rFonts w:hint="eastAsia" w:ascii="华文中宋" w:hAnsi="华文中宋" w:eastAsia="华文中宋"/>
                <w:lang w:val="en-US" w:eastAsia="zh-CN"/>
              </w:rPr>
              <w:t>3.65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3.65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6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w:t>
            </w:r>
            <w:r>
              <w:rPr>
                <w:rFonts w:hint="eastAsia" w:asciiTheme="minorEastAsia" w:hAnsiTheme="minorEastAsia" w:cstheme="minorEastAsia"/>
                <w:color w:val="000000"/>
                <w:sz w:val="18"/>
                <w:szCs w:val="18"/>
                <w:lang w:val="en-US" w:eastAsia="zh-CN"/>
              </w:rPr>
              <w:t>救援事务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3.65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lang w:val="en-US" w:eastAsia="zh-CN"/>
              </w:rPr>
              <w:t>3.65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2240204</w:t>
            </w:r>
          </w:p>
        </w:tc>
        <w:tc>
          <w:tcPr>
            <w:tcW w:w="37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autoSpaceDN w:val="0"/>
              <w:jc w:val="left"/>
              <w:textAlignment w:val="center"/>
              <w:rPr>
                <w:rFonts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消防应急救援</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3.65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lang w:val="en-US" w:eastAsia="zh-CN"/>
              </w:rPr>
              <w:t>3.65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63"/>
        <w:gridCol w:w="3719"/>
        <w:gridCol w:w="1635"/>
        <w:gridCol w:w="1695"/>
        <w:gridCol w:w="1860"/>
        <w:gridCol w:w="1740"/>
        <w:gridCol w:w="1695"/>
        <w:gridCol w:w="1797"/>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521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21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371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521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35"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60"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97"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521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2272.13</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2105.17</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166.97</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一般公共服务支出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1231.36</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125.55</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政府办公厅（室）及相关机构事务</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1231.36</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125.55</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行政运行</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1209.71</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1209.71</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2010302</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一般行政管理事务</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125.55</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default"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125.55</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2010399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其他政府办公厅（室）及相关机构事务支出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21.66</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21.66</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公共安全支出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其他公共安全支出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2049999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其他公共安全支出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社会保障和就业支出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112.96</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112.96</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行政事业单位养老支出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2080505</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机关事业单位基本养老保险缴费支出</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20808</w:t>
            </w:r>
          </w:p>
        </w:tc>
        <w:tc>
          <w:tcPr>
            <w:tcW w:w="3719" w:type="dxa"/>
            <w:tcBorders>
              <w:top w:val="single" w:color="auto" w:sz="4" w:space="0"/>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抚恤</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2080801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死亡抚恤</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卫生健康支出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行政事业单位医疗</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2101101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行政单位医疗</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城乡社区支出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41.42</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41.42</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2120</w:t>
            </w:r>
            <w:r>
              <w:rPr>
                <w:rFonts w:hint="eastAsia" w:asciiTheme="minorEastAsia" w:hAnsiTheme="minorEastAsia" w:cstheme="minorEastAsia"/>
                <w:color w:val="000000"/>
                <w:szCs w:val="21"/>
                <w:lang w:val="en-US" w:eastAsia="zh-CN"/>
              </w:rPr>
              <w:t>8</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国有土地使用权出让收入安排的支出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40.23</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40.23</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16</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农业农村生态环境支出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25.75</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25.75</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其他国有土地使用权出让收入安排的支出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14.48</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14.48</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21213</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城市基础设施配套费安排的支出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1.19</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2121399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其他城市基础设施配套费安排的支出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1.19</w:t>
            </w: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农林水支出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708.00</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708.00</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21301</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农业农村</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2130199</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其他农业农村支出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农村综合改革</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706.47</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706.47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1</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对</w:t>
            </w:r>
            <w:r>
              <w:rPr>
                <w:rFonts w:hint="eastAsia" w:asciiTheme="minorEastAsia" w:hAnsiTheme="minorEastAsia" w:cstheme="minorEastAsia"/>
                <w:color w:val="000000"/>
                <w:sz w:val="18"/>
                <w:szCs w:val="18"/>
                <w:lang w:val="en-US" w:eastAsia="zh-CN"/>
              </w:rPr>
              <w:t>村级公益事业建设的补助</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5</w:t>
            </w:r>
          </w:p>
        </w:tc>
        <w:tc>
          <w:tcPr>
            <w:tcW w:w="3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对村民委员会和村党支部的补助</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690.42</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690.42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bidi="ar-SA"/>
              </w:rPr>
              <w:t>2130799</w:t>
            </w:r>
          </w:p>
        </w:tc>
        <w:tc>
          <w:tcPr>
            <w:tcW w:w="3719" w:type="dxa"/>
            <w:tcBorders>
              <w:top w:val="single" w:color="auto" w:sz="4" w:space="0"/>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其他农村综合改革支出</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10.05</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10.05</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灾害防治及应急管理支出</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3.65</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3.65</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w:t>
            </w:r>
            <w:r>
              <w:rPr>
                <w:rFonts w:hint="eastAsia" w:asciiTheme="minorEastAsia" w:hAnsiTheme="minorEastAsia" w:cstheme="minorEastAsia"/>
                <w:color w:val="000000"/>
                <w:sz w:val="18"/>
                <w:szCs w:val="18"/>
                <w:lang w:val="en-US" w:eastAsia="zh-CN"/>
              </w:rPr>
              <w:t>救援事务</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2240204</w:t>
            </w:r>
          </w:p>
        </w:tc>
        <w:tc>
          <w:tcPr>
            <w:tcW w:w="3719" w:type="dxa"/>
            <w:tcBorders>
              <w:top w:val="nil"/>
              <w:left w:val="nil"/>
              <w:bottom w:val="single" w:color="auto" w:sz="4" w:space="0"/>
              <w:right w:val="single" w:color="auto" w:sz="4" w:space="0"/>
            </w:tcBorders>
            <w:shd w:val="clear" w:color="000000" w:fill="FFFFFF"/>
            <w:noWrap/>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消防应急救援</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695"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19"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7"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3"/>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2"/>
      </w:pPr>
    </w:p>
    <w:tbl>
      <w:tblPr>
        <w:tblStyle w:val="8"/>
        <w:tblW w:w="15521" w:type="dxa"/>
        <w:tblInd w:w="93" w:type="dxa"/>
        <w:tblLayout w:type="fixed"/>
        <w:tblCellMar>
          <w:top w:w="0" w:type="dxa"/>
          <w:left w:w="108" w:type="dxa"/>
          <w:bottom w:w="0" w:type="dxa"/>
          <w:right w:w="108" w:type="dxa"/>
        </w:tblCellMar>
      </w:tblPr>
      <w:tblGrid>
        <w:gridCol w:w="3373"/>
        <w:gridCol w:w="750"/>
        <w:gridCol w:w="1320"/>
        <w:gridCol w:w="162"/>
        <w:gridCol w:w="3318"/>
        <w:gridCol w:w="229"/>
        <w:gridCol w:w="596"/>
        <w:gridCol w:w="1412"/>
        <w:gridCol w:w="1394"/>
        <w:gridCol w:w="1394"/>
        <w:gridCol w:w="1573"/>
      </w:tblGrid>
      <w:tr>
        <w:tblPrEx>
          <w:tblCellMar>
            <w:top w:w="0" w:type="dxa"/>
            <w:left w:w="108" w:type="dxa"/>
            <w:bottom w:w="0" w:type="dxa"/>
            <w:right w:w="108" w:type="dxa"/>
          </w:tblCellMar>
        </w:tblPrEx>
        <w:trPr>
          <w:trHeight w:val="285" w:hRule="atLeast"/>
        </w:trPr>
        <w:tc>
          <w:tcPr>
            <w:tcW w:w="3373"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75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8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59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1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7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p>
        </w:tc>
        <w:tc>
          <w:tcPr>
            <w:tcW w:w="7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78"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2230.72</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33</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1356.91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1356.91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41.42</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34</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35</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36</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0.79</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0.79</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37</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38</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七、文化旅游体育与传媒支出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39</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八、社会保障和就业支出　</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40</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112.96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112.96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九、卫生健康支出　</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41</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48.4</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48.40</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十、节能环保支出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42</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十一、城乡社区支出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43</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41.42</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41.42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十二、农林水支出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44</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708.00</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708.00</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十三、交通运输支出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45</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十四、资源勘探工业信息等支出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46</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十五、商业服务业等支出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47</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十六、金融支出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48</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十七、援助其他地区支出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49</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十八、自然资源海洋气象等支出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十九、住房保障支出</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51</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二十、粮油物资储备支出</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52</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二十一、国有资本经营预算支出</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53</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二十二、灾害防治及应急管理支出</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54</w:t>
            </w:r>
          </w:p>
        </w:tc>
        <w:tc>
          <w:tcPr>
            <w:tcW w:w="141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3.65</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3.65</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lang w:val="en-US" w:eastAsia="zh-CN"/>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二十三、其他支出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55</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二十四、债务还本支出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56</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二十五、债务付息支出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57</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cstheme="minorEastAsia"/>
                <w:color w:val="000000"/>
                <w:kern w:val="0"/>
                <w:szCs w:val="21"/>
                <w:lang w:bidi="ar"/>
              </w:rPr>
              <w:t>二十六、抗疫特别国债安排的支出</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58</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2272.13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highlight w:val="none"/>
                <w:lang w:val="en-US" w:eastAsia="zh-CN" w:bidi="ar-SA"/>
              </w:rPr>
            </w:pPr>
            <w:r>
              <w:rPr>
                <w:rFonts w:hint="eastAsia" w:asciiTheme="minorEastAsia" w:hAnsiTheme="minorEastAsia" w:cstheme="minorEastAsia"/>
                <w:b w:val="0"/>
                <w:bCs w:val="0"/>
                <w:color w:val="000000"/>
                <w:kern w:val="0"/>
                <w:szCs w:val="21"/>
                <w:highlight w:val="none"/>
                <w:lang w:bidi="ar"/>
              </w:rPr>
              <w:t>59</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2272.13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2230.72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41.42　</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60</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61</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62</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34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5"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63</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402" w:hRule="atLeast"/>
        </w:trPr>
        <w:tc>
          <w:tcPr>
            <w:tcW w:w="337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5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320"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2272.13</w:t>
            </w:r>
          </w:p>
        </w:tc>
        <w:tc>
          <w:tcPr>
            <w:tcW w:w="34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25"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eastAsiaTheme="minorEastAsia"/>
                <w:b w:val="0"/>
                <w:bCs w:val="0"/>
                <w:kern w:val="0"/>
                <w:sz w:val="21"/>
                <w:szCs w:val="21"/>
                <w:lang w:val="en-US" w:eastAsia="zh-CN" w:bidi="ar-SA"/>
              </w:rPr>
            </w:pPr>
            <w:r>
              <w:rPr>
                <w:rFonts w:hint="eastAsia" w:asciiTheme="minorEastAsia" w:hAnsiTheme="minorEastAsia" w:cstheme="minorEastAsia"/>
                <w:b w:val="0"/>
                <w:bCs w:val="0"/>
                <w:color w:val="000000"/>
                <w:kern w:val="0"/>
                <w:szCs w:val="21"/>
                <w:lang w:bidi="ar"/>
              </w:rPr>
              <w:t>64</w:t>
            </w:r>
          </w:p>
        </w:tc>
        <w:tc>
          <w:tcPr>
            <w:tcW w:w="1412" w:type="dxa"/>
            <w:tcBorders>
              <w:top w:val="nil"/>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2272.13</w:t>
            </w:r>
          </w:p>
        </w:tc>
        <w:tc>
          <w:tcPr>
            <w:tcW w:w="1394" w:type="dxa"/>
            <w:tcBorders>
              <w:top w:val="nil"/>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2230.72　</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41.42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heme="minorEastAsia" w:hAnsiTheme="minorEastAsia"/>
          <w:szCs w:val="21"/>
        </w:rPr>
        <w:t>祁阳市大忠桥镇人民政府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utoSpaceDN w:val="0"/>
              <w:spacing w:line="240" w:lineRule="auto"/>
              <w:jc w:val="center"/>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utoSpaceDN w:val="0"/>
              <w:spacing w:line="240" w:lineRule="auto"/>
              <w:jc w:val="center"/>
              <w:textAlignment w:val="center"/>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合计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2230.72</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2105.17　</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lang w:val="en-US" w:eastAsia="zh-CN"/>
              </w:rPr>
            </w:pPr>
            <w:r>
              <w:rPr>
                <w:rFonts w:hint="eastAsia"/>
                <w:lang w:val="en-US" w:eastAsia="zh-CN"/>
              </w:rPr>
              <w:t>125.55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1231.36</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1356.91</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1231.36</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2010301</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1209.71</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1209.71</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2010302</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125.55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2010399</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21.66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21.66</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公共安全支出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20499</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其他公共安全支出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2049999</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其他公共安全支出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0.79</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112.96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112.96</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2080505</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109.78</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抚恤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死亡抚恤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3.19</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农林水支出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708.00</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708.00</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21301</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农业农村</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2130199</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其他农业农村支出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农村综合改革</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706.47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706.47</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1</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对</w:t>
            </w:r>
            <w:r>
              <w:rPr>
                <w:rFonts w:hint="eastAsia" w:asciiTheme="minorEastAsia" w:hAnsiTheme="minorEastAsia" w:cstheme="minorEastAsia"/>
                <w:color w:val="000000"/>
                <w:sz w:val="18"/>
                <w:szCs w:val="18"/>
                <w:lang w:val="en-US" w:eastAsia="zh-CN"/>
              </w:rPr>
              <w:t>村级公益事业建设的补助</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213070</w:t>
            </w:r>
            <w:r>
              <w:rPr>
                <w:rFonts w:hint="eastAsia" w:asciiTheme="minorEastAsia" w:hAnsiTheme="minorEastAsia" w:cstheme="minorEastAsia"/>
                <w:color w:val="000000"/>
                <w:szCs w:val="21"/>
                <w:lang w:val="en-US" w:eastAsia="zh-CN"/>
              </w:rPr>
              <w:t>5</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690.42</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690.42</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bidi="ar-SA"/>
              </w:rPr>
              <w:t>2130799</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lang w:val="en-US" w:eastAsia="zh-CN"/>
              </w:rPr>
              <w:t>其他农村综合改革支出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10.05</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3.65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3.65</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w:t>
            </w:r>
            <w:r>
              <w:rPr>
                <w:rFonts w:hint="eastAsia" w:asciiTheme="minorEastAsia" w:hAnsiTheme="minorEastAsia" w:cstheme="minorEastAsia"/>
                <w:color w:val="000000"/>
                <w:sz w:val="18"/>
                <w:szCs w:val="18"/>
                <w:lang w:val="en-US" w:eastAsia="zh-CN"/>
              </w:rPr>
              <w:t>救援事务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2240204</w:t>
            </w:r>
          </w:p>
        </w:tc>
        <w:tc>
          <w:tcPr>
            <w:tcW w:w="352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消防应急救援</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lang w:val="en-US" w:eastAsia="zh-CN"/>
              </w:rPr>
              <w:t>3.65</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31"/>
        <w:gridCol w:w="312"/>
        <w:gridCol w:w="3063"/>
        <w:gridCol w:w="420"/>
        <w:gridCol w:w="585"/>
        <w:gridCol w:w="795"/>
        <w:gridCol w:w="60"/>
        <w:gridCol w:w="1815"/>
        <w:gridCol w:w="495"/>
        <w:gridCol w:w="1080"/>
        <w:gridCol w:w="240"/>
        <w:gridCol w:w="600"/>
        <w:gridCol w:w="1305"/>
        <w:gridCol w:w="2115"/>
        <w:gridCol w:w="795"/>
        <w:gridCol w:w="749"/>
        <w:gridCol w:w="254"/>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heme="minorEastAsia" w:hAnsiTheme="minorEastAsia"/>
                <w:sz w:val="21"/>
                <w:szCs w:val="21"/>
              </w:rPr>
              <w:t>祁阳市大忠桥镇人民政府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16"/>
                <w:szCs w:val="16"/>
              </w:rPr>
              <w:t>经济分类科目编码</w:t>
            </w:r>
          </w:p>
        </w:tc>
        <w:tc>
          <w:tcPr>
            <w:tcW w:w="33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16"/>
                <w:szCs w:val="16"/>
              </w:rPr>
              <w:t>经济分类科目编码</w:t>
            </w:r>
          </w:p>
        </w:tc>
        <w:tc>
          <w:tcPr>
            <w:tcW w:w="23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16"/>
                <w:szCs w:val="16"/>
              </w:rPr>
              <w:t>经济分类科目编码</w:t>
            </w:r>
          </w:p>
        </w:tc>
        <w:tc>
          <w:tcPr>
            <w:tcW w:w="42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1180.58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219.59</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400.04</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7.11</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344.68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35.14</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112.59</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33.33</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3.65</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109.78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16.15</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0.05</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48.40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45.25</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14.04</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86.51</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6.39</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711.98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4.62</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0.44</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4.28</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16.79</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3.19</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708.79</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54.82</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26.56</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Cs w:val="20"/>
                <w:lang w:val="en-US" w:eastAsia="zh-CN"/>
              </w:rPr>
              <w:t>经常性赠与</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2.13</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Cs w:val="20"/>
                <w:lang w:val="en-US" w:eastAsia="zh-CN"/>
              </w:rPr>
              <w:t>资本性赠与</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16.34</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其他支出</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2523939999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11.08</w:t>
            </w:r>
          </w:p>
        </w:tc>
        <w:tc>
          <w:tcPr>
            <w:tcW w:w="8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1892.56</w:t>
            </w:r>
          </w:p>
        </w:tc>
        <w:tc>
          <w:tcPr>
            <w:tcW w:w="9300"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212.61</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54" w:type="dxa"/>
          <w:trHeight w:val="690" w:hRule="atLeast"/>
        </w:trPr>
        <w:tc>
          <w:tcPr>
            <w:tcW w:w="15360" w:type="dxa"/>
            <w:gridSpan w:val="1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54" w:type="dxa"/>
          <w:trHeight w:val="345" w:hRule="atLeast"/>
        </w:trPr>
        <w:tc>
          <w:tcPr>
            <w:tcW w:w="93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1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483"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44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8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81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05"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54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54" w:type="dxa"/>
          <w:trHeight w:val="690" w:hRule="atLeast"/>
        </w:trPr>
        <w:tc>
          <w:tcPr>
            <w:tcW w:w="6166" w:type="dxa"/>
            <w:gridSpan w:val="7"/>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p>
        </w:tc>
        <w:tc>
          <w:tcPr>
            <w:tcW w:w="18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81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05"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54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54" w:type="dxa"/>
          <w:trHeight w:val="459" w:hRule="atLeast"/>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5"/>
                <w:rFonts w:hint="default"/>
              </w:rPr>
              <w:t xml:space="preserve">   </w:t>
            </w:r>
            <w:r>
              <w:rPr>
                <w:rStyle w:val="16"/>
                <w:rFonts w:hint="default"/>
              </w:rPr>
              <w:t>目</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58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1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3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1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54" w:type="dxa"/>
          <w:trHeight w:val="509" w:hRule="atLeast"/>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41.42</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41.42</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41.42</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000000"/>
                <w:sz w:val="18"/>
                <w:szCs w:val="18"/>
              </w:rPr>
              <w:t>城乡社区支出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41.42</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41.42</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41.42</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2120</w:t>
            </w:r>
            <w:r>
              <w:rPr>
                <w:rFonts w:hint="eastAsia" w:asciiTheme="minorEastAsia" w:hAnsiTheme="minorEastAsia" w:cstheme="minorEastAsia"/>
                <w:color w:val="000000"/>
                <w:szCs w:val="21"/>
                <w:lang w:val="en-US" w:eastAsia="zh-CN"/>
              </w:rPr>
              <w:t>8</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国有土地使用权出让收入安排的支出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40.23</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40.23</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40.23</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16</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农业农村生态环境支出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25.75</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25.75</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25.75</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color w:val="000000"/>
                <w:szCs w:val="21"/>
              </w:rPr>
              <w:t>21208</w:t>
            </w:r>
            <w:r>
              <w:rPr>
                <w:rFonts w:hint="eastAsia" w:asciiTheme="minorEastAsia" w:hAnsiTheme="minorEastAsia" w:cstheme="minorEastAsia"/>
                <w:color w:val="000000"/>
                <w:szCs w:val="21"/>
                <w:lang w:val="en-US" w:eastAsia="zh-CN"/>
              </w:rPr>
              <w:t>99</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其他国有土地使用权出让收入安排的支出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14.48</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14.48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14.48</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21213</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城市基础设施配套费安排的支出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2121399</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240" w:lineRule="auto"/>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cstheme="minorEastAsia"/>
                <w:color w:val="000000"/>
                <w:sz w:val="18"/>
                <w:szCs w:val="18"/>
              </w:rPr>
              <w:t>其他城市基础设施配套费安排的支出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Theme="minorHAnsi" w:hAnsiTheme="minorHAnsi" w:eastAsiaTheme="minorEastAsia" w:cstheme="minorBidi"/>
                <w:kern w:val="2"/>
                <w:sz w:val="21"/>
                <w:szCs w:val="22"/>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1.19</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725" w:hRule="atLeast"/>
        </w:trPr>
        <w:tc>
          <w:tcPr>
            <w:tcW w:w="15360" w:type="dxa"/>
            <w:gridSpan w:val="1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FF0000"/>
                <w:kern w:val="0"/>
                <w:sz w:val="24"/>
                <w:szCs w:val="24"/>
              </w:rPr>
            </w:pP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3126"/>
        <w:gridCol w:w="622"/>
        <w:gridCol w:w="1997"/>
        <w:gridCol w:w="2845"/>
        <w:gridCol w:w="2845"/>
        <w:gridCol w:w="3685"/>
      </w:tblGrid>
      <w:tr>
        <w:tblPrEx>
          <w:tblCellMar>
            <w:top w:w="0" w:type="dxa"/>
            <w:left w:w="108" w:type="dxa"/>
            <w:bottom w:w="0" w:type="dxa"/>
            <w:right w:w="108" w:type="dxa"/>
          </w:tblCellMar>
        </w:tblPrEx>
        <w:trPr>
          <w:trHeight w:val="768"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7"/>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32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8"/>
                <w:szCs w:val="28"/>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ind w:firstLine="480" w:firstLineChars="200"/>
              <w:jc w:val="left"/>
              <w:textAlignment w:val="center"/>
              <w:rPr>
                <w:rFonts w:ascii="宋体" w:hAnsi="宋体" w:eastAsia="宋体" w:cs="宋体"/>
                <w:color w:val="000000"/>
                <w:kern w:val="0"/>
                <w:sz w:val="24"/>
                <w:szCs w:val="24"/>
              </w:rPr>
            </w:pPr>
            <w:r>
              <w:rPr>
                <w:rFonts w:hint="eastAsia" w:ascii="宋体" w:hAnsi="宋体" w:eastAsia="宋体" w:cs="宋体"/>
                <w:b w:val="0"/>
                <w:bCs w:val="0"/>
                <w:kern w:val="0"/>
                <w:sz w:val="24"/>
                <w:szCs w:val="24"/>
              </w:rPr>
              <w:t>本单位没有使用国有资本经营预算安排的支出，故本表无数据。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3126"/>
        <w:gridCol w:w="1143"/>
        <w:gridCol w:w="1076"/>
        <w:gridCol w:w="1009"/>
        <w:gridCol w:w="1076"/>
        <w:gridCol w:w="1076"/>
        <w:gridCol w:w="1076"/>
        <w:gridCol w:w="1143"/>
        <w:gridCol w:w="1076"/>
        <w:gridCol w:w="1009"/>
        <w:gridCol w:w="1076"/>
        <w:gridCol w:w="1254"/>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heme="minorEastAsia" w:hAnsiTheme="minorEastAsia"/>
                <w:szCs w:val="21"/>
              </w:rPr>
              <w:t>祁阳市大忠桥镇人民政府</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3.81</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第三部分</w:t>
      </w:r>
    </w:p>
    <w:p>
      <w:pPr>
        <w:pStyle w:val="12"/>
        <w:jc w:val="center"/>
        <w:rPr>
          <w:rFonts w:ascii="方正小标宋_GBK" w:hAnsi="方正小标宋_GBK" w:eastAsia="方正小标宋_GBK" w:cs="方正小标宋_GBK"/>
          <w:sz w:val="52"/>
          <w:szCs w:val="52"/>
        </w:rPr>
      </w:pPr>
    </w:p>
    <w:p>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3</w:t>
      </w:r>
      <w:r>
        <w:rPr>
          <w:rFonts w:hint="eastAsia" w:ascii="方正小标宋_GBK" w:hAnsi="方正小标宋_GBK" w:eastAsia="方正小标宋_GBK" w:cs="方正小标宋_GBK"/>
          <w:sz w:val="52"/>
          <w:szCs w:val="52"/>
        </w:rPr>
        <w:t>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2272.13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增加65.51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增加2.969</w:t>
      </w:r>
      <w:r>
        <w:rPr>
          <w:rFonts w:hint="eastAsia" w:ascii="Times New Roman" w:hAnsi="Times New Roman" w:eastAsia="仿宋_GB2312"/>
          <w:sz w:val="32"/>
          <w:szCs w:val="32"/>
        </w:rPr>
        <w:t>%，主要是因为一般公共服务和政府性基金预算财政拨款收支</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二、收入决算情况说明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2272.13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2272.13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三、支出决算情况说明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2272.13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1892.56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83.29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166.97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2"/>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2272.13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增加65.51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增加2.969</w:t>
      </w:r>
      <w:r>
        <w:rPr>
          <w:rFonts w:hint="eastAsia" w:ascii="Times New Roman" w:hAnsi="Times New Roman" w:eastAsia="仿宋_GB2312"/>
          <w:sz w:val="32"/>
          <w:szCs w:val="32"/>
        </w:rPr>
        <w:t>%，主要是因为一般公共服务和政府性基金预算财政拨款收支</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2105.17</w:t>
      </w:r>
      <w:r>
        <w:rPr>
          <w:rFonts w:hint="eastAsia" w:ascii="Times New Roman" w:hAnsi="Times New Roman" w:eastAsia="仿宋_GB2312"/>
          <w:sz w:val="32"/>
          <w:szCs w:val="32"/>
        </w:rPr>
        <w:t>元，占本年支出合计的</w:t>
      </w:r>
      <w:r>
        <w:rPr>
          <w:rFonts w:hint="eastAsia" w:ascii="Times New Roman" w:hAnsi="Times New Roman" w:eastAsia="仿宋_GB2312"/>
          <w:sz w:val="32"/>
          <w:szCs w:val="32"/>
          <w:lang w:val="en-US" w:eastAsia="zh-CN"/>
        </w:rPr>
        <w:t>92.65</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0.71</w:t>
      </w:r>
      <w:r>
        <w:rPr>
          <w:rFonts w:hint="eastAsia" w:ascii="Times New Roman" w:hAnsi="Times New Roman" w:eastAsia="仿宋_GB2312"/>
          <w:sz w:val="32"/>
          <w:szCs w:val="32"/>
        </w:rPr>
        <w:t>%，主要是因为一般公共服务支出增加。</w:t>
      </w:r>
    </w:p>
    <w:p>
      <w:pPr>
        <w:pStyle w:val="12"/>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7"/>
        <w:spacing w:before="0" w:beforeAutospacing="0" w:after="106" w:afterAutospacing="0" w:line="440" w:lineRule="atLeast"/>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2105.17</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1356.91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64.46</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112.96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5.37</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2.299</w:t>
      </w: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708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33.63</w:t>
      </w:r>
      <w:r>
        <w:rPr>
          <w:rFonts w:hint="eastAsia" w:ascii="Times New Roman" w:hAnsi="Times New Roman" w:eastAsia="仿宋_GB2312"/>
          <w:sz w:val="32"/>
          <w:szCs w:val="32"/>
        </w:rPr>
        <w:t>%；灾害防治及应急管理支出</w:t>
      </w:r>
      <w:r>
        <w:rPr>
          <w:rFonts w:hint="eastAsia" w:ascii="Times New Roman" w:hAnsi="Times New Roman" w:eastAsia="仿宋_GB2312"/>
          <w:sz w:val="32"/>
          <w:szCs w:val="32"/>
          <w:lang w:val="en-US" w:eastAsia="zh-CN"/>
        </w:rPr>
        <w:t>3.65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w:t>
      </w:r>
    </w:p>
    <w:p>
      <w:pPr>
        <w:pStyle w:val="12"/>
        <w:spacing w:line="600" w:lineRule="exact"/>
        <w:ind w:firstLine="320" w:firstLineChars="10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cs="宋体"/>
          <w:color w:val="auto"/>
          <w:kern w:val="0"/>
          <w:sz w:val="32"/>
          <w:szCs w:val="32"/>
          <w:lang w:val="en-US" w:eastAsia="zh-CN" w:bidi="ar-SA"/>
        </w:rPr>
        <w:t>2023年度财政拨款支出年初预算数为1273.66万元，支出决算数为2105.17万元，完成年初预算的165.29%，其中：</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1、一般公共服务支出（201）政府办公厅（室）及相关机构事务（20103）行政运行（2010301）。</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年初预算为1082.08万元，支出决算为1209.71万元，完成年初预算的111.79%，决算数大于年初预算数的主要原因是：部分行政运行经费未纳入年初预算，为本年财政追加。</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2、一般公共服务支出（201）政府办公厅（室）及相关机构事务（20103）一般行政管理事务（2010302）。</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年初预算为0万元，支出决算为125.55万元，决算数大于年初预算数的主要原因是：财政追加预算。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3、一般公共服务支出（201）政府办公厅（室）及相关机构事务（20103）其他政府办公厅（室）及相关机构事务（2010399）。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年初预算为0万元，支出决算为21.66万元，决算数大于年初预算数的主要原因是：财政追加预算。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4、公共安全支出（204）其他公共安全支出（20499）其他公共安全支出（2049999）。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年初预算为0万元，支出决算为0.79万元，决算数大于年初预算数的主要原因是：财政追加预算。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5、社会保障和就业（208）行政事业单位养老支出（20805）机关事业单位基本养老保险缴费支出（2080505）。</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年初预算为183.3万元，支出决算为109.78万元，完成年初预算的59.89%，决算数小于年初预算数的主要原因是2023年度职工基本养老保险缴费尚未完全结算缴费。</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6、社会保障和就业（208）抚恤（20808）死亡抚恤（2080801）。</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年初预算为8.28万元，支出决算为3.19万元，完成年初预算的38.53%，决算数小于年初预算数的主要原因是：2023年度部分经费未纳入结算。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7、卫生健康（210）行政事业单位医疗（21011）行政单位医疗（2101101）。</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年初预算为0万元，支出决算为48.4万元，完成年初预算的76.48%，决算数大于年初预算数的主要原因是2023年度职工基本医疗保险缴费尚未完全结算缴费。</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8、农林水支出（213）农业农村（21301）其他农业农村支出（2130199）。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年初预算为0.00万元，支出决算为1.53万元，决算数大于年初预算数的主要原因是：财政追加预算。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9、农林水支出（213）农村综合改革（21307）对村级公益事业建设的补助（2130701）对村民委员会和村党支部的补助（2130705）其他农村综合改革支出（2130799）。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年初预算为0.00万元，支出决算为706.47万元，决算数大于年初预算数的主要原因是：财政追加预算。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10、灾害防治及应急管理支出（224）消防救援事务（22402）消防应急救援（2240204）。</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年初预算为0.00万元，支出决算为3.65万元，决算数大于年初预算数的主要原因是：财政追加预算。</w:t>
      </w:r>
    </w:p>
    <w:p>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年度财政拨款基本支出2105.17万元，其中：</w:t>
      </w:r>
    </w:p>
    <w:p>
      <w:pPr>
        <w:pStyle w:val="12"/>
        <w:spacing w:line="600" w:lineRule="exact"/>
        <w:ind w:firstLine="640" w:firstLineChars="20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1892.56</w:t>
      </w:r>
      <w:r>
        <w:rPr>
          <w:rFonts w:hint="eastAsia" w:ascii="Times New Roman" w:hAnsi="Times New Roman" w:eastAsia="仿宋_GB2312" w:cs="宋体"/>
          <w:color w:val="auto"/>
          <w:kern w:val="0"/>
          <w:sz w:val="32"/>
          <w:szCs w:val="32"/>
          <w:lang w:val="en-US" w:eastAsia="zh-CN" w:bidi="ar-SA"/>
        </w:rPr>
        <w:t>万元，占基本支出的89.9%,主要包括基本工资、津贴补贴、奖金、伙食补助费、机关事业单位基本养老保险缴费、职工基本医疗保险缴费、其他社区保障缴费、住房公积金、抚恤金、生活补助。</w:t>
      </w:r>
    </w:p>
    <w:p>
      <w:pPr>
        <w:pStyle w:val="7"/>
        <w:spacing w:before="0" w:beforeAutospacing="0" w:after="106" w:afterAutospacing="0" w:line="440" w:lineRule="atLeast"/>
        <w:ind w:firstLine="640" w:firstLineChars="20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212.61</w:t>
      </w:r>
      <w:r>
        <w:rPr>
          <w:rFonts w:hint="eastAsia" w:ascii="Times New Roman" w:hAnsi="Times New Roman" w:eastAsia="仿宋_GB2312" w:cs="宋体"/>
          <w:color w:val="auto"/>
          <w:kern w:val="0"/>
          <w:sz w:val="32"/>
          <w:szCs w:val="32"/>
          <w:lang w:val="en-US" w:eastAsia="zh-CN" w:bidi="ar-SA"/>
        </w:rPr>
        <w:t>万元，占基本支出的10.1%，主要包括办公费、印刷费、水费、电费、邮电费、差旅费、维修费、会议费、培训费、公务接持费、专用材料费、公务用车运行维护费、其他交通费、其他商品和服务支出。</w:t>
      </w:r>
    </w:p>
    <w:p>
      <w:pPr>
        <w:pStyle w:val="12"/>
        <w:numPr>
          <w:ilvl w:val="0"/>
          <w:numId w:val="2"/>
        </w:numPr>
        <w:spacing w:line="600" w:lineRule="exact"/>
        <w:ind w:firstLine="640" w:firstLineChars="200"/>
        <w:rPr>
          <w:rFonts w:hint="eastAsia" w:hAnsi="黑体"/>
          <w:bCs/>
          <w:sz w:val="32"/>
          <w:szCs w:val="32"/>
        </w:rPr>
      </w:pPr>
      <w:r>
        <w:rPr>
          <w:rFonts w:hint="eastAsia" w:hAnsi="黑体"/>
          <w:bCs/>
          <w:sz w:val="32"/>
          <w:szCs w:val="32"/>
        </w:rPr>
        <w:t>财政拨款三公经费支出决算情况说明</w:t>
      </w:r>
    </w:p>
    <w:p>
      <w:pPr>
        <w:pStyle w:val="12"/>
        <w:numPr>
          <w:ilvl w:val="0"/>
          <w:numId w:val="0"/>
        </w:numPr>
        <w:spacing w:line="600" w:lineRule="exact"/>
        <w:ind w:firstLine="960" w:firstLineChars="3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“三公”经费财政拨款支出预算为7.8万元，支出决算为5.88万元，完成预算的75.38%，其中：</w:t>
      </w:r>
    </w:p>
    <w:p>
      <w:pPr>
        <w:pStyle w:val="12"/>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因公出国（境）费支出预算为0万元，支出决算为0万元，决算数与年初预算数一致主要原因是无因公出国人员，与上年相比无增减变化，主要原因是无因公出国人员。</w:t>
      </w:r>
    </w:p>
    <w:p>
      <w:pPr>
        <w:pStyle w:val="7"/>
        <w:spacing w:before="0" w:beforeAutospacing="0" w:after="106" w:afterAutospacing="0" w:line="440" w:lineRule="atLeast"/>
        <w:ind w:firstLine="42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公务接待费支出预算为4.8万元，支出决算为3.81万元，完成预算的79.38%，决算数小于年初预算数的主要原因是严格执行公务接待标准。与上年相比减少0.47万元，减少10.98%，减少的主要原因是会议费发生的接待费减少。</w:t>
      </w:r>
    </w:p>
    <w:p>
      <w:pPr>
        <w:pStyle w:val="12"/>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公务用车购置费支出预算为0万元，支出决算为0万元，决算数与年初预算数一致主要原因是没有购置费，与上年相比无增减变化，主要原因是没有发生购置费。</w:t>
      </w:r>
    </w:p>
    <w:p>
      <w:pPr>
        <w:pStyle w:val="12"/>
        <w:spacing w:line="600" w:lineRule="exact"/>
        <w:ind w:firstLine="640" w:firstLineChars="20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公务用车运行维护费支出预算为3万元，支出决算为2.07万元，完成预算的69%，决算数小于年初预算数的主要原因是严格执行公务用车标准，与上年相比减少0.06万元，减少2.82%，减少的主要原因是公务用车减少了。</w:t>
      </w:r>
    </w:p>
    <w:p>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年度“三公”经费财政拨款支出决算中，公务接待费支出决算3.81万元，占79.38%,因公出国（境）费支出决算0万元，占0%,公务用车购置费及运行维护费支出决算2.07万元，占69%。其中：</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1、因公出国（境）费支出决算为0万元，全年安排因公出国（境）团组0个，累计0人次。</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2、公务接待费支出决算为3.81万元，全年共接待来访团组72个、来宾589人次，主要是会议费发生的接待支出。</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3、公务用车购置费及运行维护费支出决算为2.07万元，其中：公务用车购置费0万元，更新公务用车0辆。公务用车运行维护费2.07万元，主要是维修费和燃料费支出，截止2023年12月31日，我单位开支财政拨款的公务用车保有量为1辆。</w:t>
      </w:r>
    </w:p>
    <w:p>
      <w:pPr>
        <w:pStyle w:val="12"/>
        <w:spacing w:line="600" w:lineRule="exact"/>
        <w:ind w:firstLine="320" w:firstLineChars="100"/>
        <w:rPr>
          <w:rFonts w:hAnsi="黑体"/>
          <w:bCs/>
          <w:sz w:val="32"/>
          <w:szCs w:val="32"/>
        </w:rPr>
      </w:pPr>
      <w:r>
        <w:rPr>
          <w:rFonts w:hint="eastAsia" w:hAnsi="黑体"/>
          <w:bCs/>
          <w:sz w:val="32"/>
          <w:szCs w:val="32"/>
        </w:rPr>
        <w:t>八、政府性基金预算收入支出决算情况</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年度政府性基金预算财政拨款收入41.42万元；年初结转和结余0万元；支出41.42万元，其中基本支出0万元，项目支出41.42万元；年末结转和结余0万元。具体情况如下：</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1、城乡社区支出（212）国有土地使用权出让收入安排的支出（21208）农业农村生态环境支出（2120816）。</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年初预算为0万元，支出决算为25.75万元，决算数大于年初预算数的主要原因是：财政追加预算。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2、城乡社区支出（212）国有土地使用权出让收入安排的支出（21208）其他国有土地使用权出让收入安排的支出（2120899）。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年初预算为0万元，支出决算为14.48万元，决算数大于年初预算数的主要原因是：财政追加预算。</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3、城乡社区支出（212）城市基础设施配套费安排的支出（21213）其他城市基础设施配套费安排的支出（2121399）。</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年初预算为0万元，支出决算为1.19万元，决算数大于年初预算数的主要原因是：财政追加预算。</w:t>
      </w:r>
    </w:p>
    <w:p>
      <w:pPr>
        <w:pStyle w:val="12"/>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九、关于机关运行经费支出说明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本部门202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年度机关运行经费支出212.61万元，比年初预算数218.2万元减少5.59万元，减少2.63%。主要原因是创卫、创园、创绿等支出减少。</w:t>
      </w:r>
    </w:p>
    <w:p>
      <w:pPr>
        <w:pStyle w:val="12"/>
        <w:spacing w:line="600" w:lineRule="exact"/>
        <w:ind w:firstLine="640" w:firstLineChars="200"/>
        <w:rPr>
          <w:rFonts w:hAnsi="黑体"/>
          <w:bCs/>
          <w:sz w:val="32"/>
          <w:szCs w:val="32"/>
        </w:rPr>
      </w:pPr>
      <w:r>
        <w:rPr>
          <w:rFonts w:hint="eastAsia" w:hAnsi="黑体"/>
          <w:bCs/>
          <w:sz w:val="32"/>
          <w:szCs w:val="32"/>
        </w:rPr>
        <w:t>十、一般性支出情况说明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本部门开支会议费1.71万元，用于召开年初起步大会、农业生产、人大、七一等会议，人数1560人，内容为村组工作安排会，农村改厕、农业生产工作，人大选举工作，七一等会议；开支培训费3.69万元，用于开展业务培训，人数186人，内容为安全生产、扶贫监测、党校培训，业务培训。举办0场节庆、晚会、论坛、赛事活动，开支0万元。</w:t>
      </w:r>
    </w:p>
    <w:p>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本部门202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政府采购支出总额20万元，其中：政府采购货物支出10万元、政府采购工程支出0万元、政府采购服务支出0万元。授予中小企业合同金额10万元，占政府采购支出总额的50%，其中：授予小微企业合同金额10万元，占政府采购支出总额的50%。货物采购授予中小企业合同金额占货物支出金额的50%，工程采购授予中小企业合同金额占工程支出金额的0%，服务采购授予中小企业合同金额占服务支出金额的0%。</w:t>
      </w:r>
    </w:p>
    <w:p>
      <w:pPr>
        <w:pStyle w:val="12"/>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截至202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12月31日，本单位共有车辆1辆，其中，主要领导干部用车0辆，机要通信用车0辆、应急保障用车0辆、执法执勤用车0辆、特种专业技术用车0辆、其他用车1辆；单位价值50万元以上通用设备0台（套）；单位价值100万元以上专用设备0台（套）。</w:t>
      </w:r>
    </w:p>
    <w:p>
      <w:pPr>
        <w:pStyle w:val="12"/>
        <w:spacing w:line="600" w:lineRule="exact"/>
        <w:ind w:firstLine="640" w:firstLineChars="200"/>
        <w:rPr>
          <w:rFonts w:hAnsi="黑体"/>
          <w:bCs/>
          <w:sz w:val="32"/>
          <w:szCs w:val="32"/>
        </w:rPr>
      </w:pPr>
      <w:r>
        <w:rPr>
          <w:rFonts w:hint="eastAsia" w:hAnsi="黑体"/>
          <w:bCs/>
          <w:sz w:val="32"/>
          <w:szCs w:val="32"/>
        </w:rPr>
        <w:t>十三、关于202</w:t>
      </w:r>
      <w:r>
        <w:rPr>
          <w:rFonts w:hint="default" w:hAnsi="黑体"/>
          <w:bCs/>
          <w:sz w:val="32"/>
          <w:szCs w:val="32"/>
        </w:rPr>
        <w:t>3</w:t>
      </w:r>
      <w:r>
        <w:rPr>
          <w:rFonts w:hint="eastAsia" w:hAnsi="黑体"/>
          <w:bCs/>
          <w:sz w:val="32"/>
          <w:szCs w:val="32"/>
        </w:rPr>
        <w:t>年度预算绩效情况的说明</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本部门202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年整体支出2272.13万元，其中项目支出166.97万元，本年度重点项目支出166.97万元。</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根据预算绩效管理要求，本单位组织对202</w:t>
      </w:r>
      <w:r>
        <w:rPr>
          <w:rFonts w:hint="default" w:ascii="Times New Roman" w:hAnsi="Times New Roman" w:eastAsia="仿宋_GB2312" w:cs="宋体"/>
          <w:color w:val="auto"/>
          <w:kern w:val="0"/>
          <w:sz w:val="32"/>
          <w:szCs w:val="32"/>
          <w:lang w:eastAsia="zh-CN" w:bidi="ar-SA"/>
        </w:rPr>
        <w:t>3</w:t>
      </w:r>
      <w:r>
        <w:rPr>
          <w:rFonts w:hint="eastAsia" w:ascii="Times New Roman" w:hAnsi="Times New Roman" w:eastAsia="仿宋_GB2312" w:cs="宋体"/>
          <w:color w:val="auto"/>
          <w:kern w:val="0"/>
          <w:sz w:val="32"/>
          <w:szCs w:val="32"/>
          <w:lang w:val="en-US" w:eastAsia="zh-CN" w:bidi="ar-SA"/>
        </w:rPr>
        <w:t>年度一般公共预算项目支出全面开展绩效自评，其中本年度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w:t>
      </w:r>
    </w:p>
    <w:p>
      <w:pPr>
        <w:pStyle w:val="12"/>
        <w:spacing w:line="600" w:lineRule="exact"/>
        <w:ind w:firstLine="800" w:firstLineChars="25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加强财务监督和绩效评价，把绩效管理的理念和方法引入单位经费的管理，逐步建立起以强化资金使用效益为核心的绩效评价体系，工作过程全部进行量化考评。进一步完善财务监督制度，强化重大项目经费的全过程审计。</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jc w:val="center"/>
        <w:rPr>
          <w:rFonts w:ascii="方正小标宋_GBK" w:hAnsi="方正小标宋_GBK" w:eastAsia="方正小标宋_GBK" w:cs="方正小标宋_GBK"/>
          <w:color w:val="000000"/>
          <w:kern w:val="0"/>
          <w:sz w:val="70"/>
          <w:szCs w:val="70"/>
        </w:rPr>
      </w:pPr>
    </w:p>
    <w:p>
      <w:pPr>
        <w:jc w:val="center"/>
        <w:rPr>
          <w:rFonts w:cs="黑体" w:asciiTheme="minorEastAsia" w:hAnsiTheme="minorEastAsia"/>
          <w:color w:val="000000"/>
          <w:kern w:val="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（三）“三公”经费科目</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宋体" w:hAnsi="宋体" w:eastAsia="宋体" w:cs="宋体"/>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第五部分 </w:t>
      </w:r>
    </w:p>
    <w:p>
      <w:pPr>
        <w:pStyle w:val="12"/>
        <w:jc w:val="center"/>
        <w:rPr>
          <w:rFonts w:hint="eastAsia"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附件</w:t>
      </w:r>
    </w:p>
    <w:p>
      <w:pPr>
        <w:spacing w:line="600" w:lineRule="exact"/>
        <w:ind w:firstLine="1"/>
        <w:jc w:val="center"/>
        <w:rPr>
          <w:rFonts w:hint="eastAsia" w:ascii="Times New Roman" w:hAnsi="Times New Roman" w:eastAsia="仿宋_GB2312" w:cs="黑体"/>
          <w:b/>
          <w:color w:val="000000"/>
          <w:kern w:val="0"/>
          <w:sz w:val="36"/>
          <w:szCs w:val="36"/>
        </w:rPr>
      </w:pPr>
    </w:p>
    <w:p>
      <w:pPr>
        <w:spacing w:line="600" w:lineRule="exact"/>
        <w:ind w:firstLine="1"/>
        <w:jc w:val="center"/>
        <w:rPr>
          <w:rFonts w:hint="eastAsia" w:ascii="Times New Roman" w:hAnsi="Times New Roman" w:eastAsia="仿宋_GB2312" w:cs="黑体"/>
          <w:b/>
          <w:color w:val="000000"/>
          <w:kern w:val="0"/>
          <w:sz w:val="36"/>
          <w:szCs w:val="36"/>
        </w:rPr>
      </w:pPr>
    </w:p>
    <w:p>
      <w:pPr>
        <w:spacing w:line="600" w:lineRule="exact"/>
        <w:ind w:firstLine="1"/>
        <w:jc w:val="center"/>
        <w:rPr>
          <w:rFonts w:hint="eastAsia" w:ascii="Times New Roman" w:hAnsi="Times New Roman" w:eastAsia="仿宋_GB2312" w:cs="黑体"/>
          <w:b/>
          <w:color w:val="000000"/>
          <w:kern w:val="0"/>
          <w:sz w:val="36"/>
          <w:szCs w:val="36"/>
        </w:rPr>
      </w:pPr>
    </w:p>
    <w:p>
      <w:pPr>
        <w:spacing w:line="600" w:lineRule="exact"/>
        <w:ind w:firstLine="1"/>
        <w:jc w:val="center"/>
        <w:rPr>
          <w:rFonts w:hint="eastAsia" w:ascii="Times New Roman" w:hAnsi="Times New Roman" w:eastAsia="仿宋_GB2312" w:cs="黑体"/>
          <w:b/>
          <w:color w:val="000000"/>
          <w:kern w:val="0"/>
          <w:sz w:val="36"/>
          <w:szCs w:val="36"/>
        </w:rPr>
      </w:pPr>
    </w:p>
    <w:p>
      <w:pPr>
        <w:pStyle w:val="2"/>
        <w:rPr>
          <w:rFonts w:hint="eastAsia" w:ascii="Times New Roman" w:hAnsi="Times New Roman" w:eastAsia="仿宋_GB2312" w:cs="黑体"/>
          <w:b/>
          <w:color w:val="000000"/>
          <w:kern w:val="0"/>
          <w:sz w:val="36"/>
          <w:szCs w:val="36"/>
        </w:rPr>
      </w:pPr>
    </w:p>
    <w:p>
      <w:pPr>
        <w:pStyle w:val="3"/>
        <w:rPr>
          <w:rFonts w:hint="eastAsia" w:ascii="Times New Roman" w:hAnsi="Times New Roman" w:eastAsia="仿宋_GB2312" w:cs="黑体"/>
          <w:b/>
          <w:color w:val="000000"/>
          <w:kern w:val="0"/>
          <w:sz w:val="36"/>
          <w:szCs w:val="36"/>
        </w:rPr>
      </w:pPr>
    </w:p>
    <w:p>
      <w:pPr>
        <w:rPr>
          <w:rFonts w:hint="eastAsia" w:ascii="Times New Roman" w:hAnsi="Times New Roman" w:eastAsia="仿宋_GB2312" w:cs="黑体"/>
          <w:b/>
          <w:color w:val="000000"/>
          <w:kern w:val="0"/>
          <w:sz w:val="36"/>
          <w:szCs w:val="36"/>
        </w:rPr>
      </w:pPr>
    </w:p>
    <w:p>
      <w:pPr>
        <w:pStyle w:val="2"/>
        <w:rPr>
          <w:rFonts w:hint="eastAsia" w:ascii="Times New Roman" w:hAnsi="Times New Roman" w:eastAsia="仿宋_GB2312" w:cs="黑体"/>
          <w:b/>
          <w:color w:val="000000"/>
          <w:kern w:val="0"/>
          <w:sz w:val="36"/>
          <w:szCs w:val="36"/>
        </w:rPr>
      </w:pPr>
    </w:p>
    <w:p>
      <w:pPr>
        <w:pStyle w:val="3"/>
        <w:rPr>
          <w:rFonts w:hint="eastAsia" w:ascii="Times New Roman" w:hAnsi="Times New Roman" w:eastAsia="仿宋_GB2312" w:cs="黑体"/>
          <w:b/>
          <w:color w:val="000000"/>
          <w:kern w:val="0"/>
          <w:sz w:val="36"/>
          <w:szCs w:val="36"/>
        </w:rPr>
      </w:pPr>
    </w:p>
    <w:p>
      <w:pPr>
        <w:rPr>
          <w:rFonts w:hint="eastAsia" w:ascii="Times New Roman" w:hAnsi="Times New Roman" w:eastAsia="仿宋_GB2312" w:cs="黑体"/>
          <w:b/>
          <w:color w:val="000000"/>
          <w:kern w:val="0"/>
          <w:sz w:val="36"/>
          <w:szCs w:val="36"/>
        </w:rPr>
      </w:pPr>
    </w:p>
    <w:p>
      <w:pPr>
        <w:pStyle w:val="2"/>
        <w:rPr>
          <w:rFonts w:hint="eastAsia" w:ascii="Times New Roman" w:hAnsi="Times New Roman" w:eastAsia="仿宋_GB2312" w:cs="黑体"/>
          <w:b/>
          <w:color w:val="000000"/>
          <w:kern w:val="0"/>
          <w:sz w:val="36"/>
          <w:szCs w:val="36"/>
        </w:rPr>
      </w:pPr>
    </w:p>
    <w:p>
      <w:pPr>
        <w:spacing w:line="600" w:lineRule="exact"/>
        <w:jc w:val="center"/>
        <w:rPr>
          <w:rFonts w:hint="eastAsia" w:ascii="Times New Roman" w:hAnsi="Times New Roman" w:eastAsia="仿宋_GB2312" w:cs="黑体"/>
          <w:b/>
          <w:color w:val="000000"/>
          <w:kern w:val="0"/>
          <w:sz w:val="36"/>
          <w:szCs w:val="36"/>
        </w:rPr>
      </w:pPr>
    </w:p>
    <w:p>
      <w:pPr>
        <w:spacing w:line="600" w:lineRule="exact"/>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w:t>
      </w:r>
      <w:r>
        <w:rPr>
          <w:rFonts w:hint="default" w:ascii="Times New Roman" w:hAnsi="Times New Roman" w:eastAsia="仿宋_GB2312" w:cs="黑体"/>
          <w:b/>
          <w:color w:val="000000"/>
          <w:kern w:val="0"/>
          <w:sz w:val="36"/>
          <w:szCs w:val="36"/>
        </w:rPr>
        <w:t>3</w:t>
      </w:r>
      <w:r>
        <w:rPr>
          <w:rFonts w:hint="eastAsia" w:ascii="Times New Roman" w:hAnsi="Times New Roman" w:eastAsia="仿宋_GB2312" w:cs="黑体"/>
          <w:b/>
          <w:color w:val="000000"/>
          <w:kern w:val="0"/>
          <w:sz w:val="36"/>
          <w:szCs w:val="36"/>
        </w:rPr>
        <w:t>年部门整体支出绩效评价报告</w:t>
      </w:r>
    </w:p>
    <w:p>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p>
    <w:p>
      <w:pPr>
        <w:pStyle w:val="7"/>
        <w:widowControl/>
        <w:pBdr>
          <w:top w:val="none" w:color="auto" w:sz="0" w:space="0"/>
          <w:left w:val="none" w:color="auto" w:sz="0" w:space="0"/>
          <w:bottom w:val="none" w:color="auto" w:sz="0" w:space="0"/>
          <w:right w:val="none" w:color="auto" w:sz="0" w:space="0"/>
        </w:pBdr>
        <w:spacing w:before="0" w:beforeAutospacing="0" w:after="106" w:afterAutospacing="0" w:line="440" w:lineRule="atLeast"/>
        <w:ind w:right="0" w:firstLine="960" w:firstLineChars="300"/>
        <w:jc w:val="left"/>
        <w:rPr>
          <w:rFonts w:hint="eastAsia" w:ascii="仿宋" w:hAnsi="仿宋" w:eastAsia="仿宋" w:cs="仿宋"/>
          <w:b w:val="0"/>
          <w:bCs/>
          <w:sz w:val="32"/>
          <w:szCs w:val="32"/>
          <w:u w:val="none"/>
        </w:rPr>
      </w:pPr>
      <w:r>
        <w:rPr>
          <w:rFonts w:hint="eastAsia" w:ascii="仿宋" w:hAnsi="仿宋" w:eastAsia="仿宋" w:cs="仿宋"/>
          <w:b w:val="0"/>
          <w:bCs/>
          <w:kern w:val="0"/>
          <w:sz w:val="32"/>
          <w:szCs w:val="32"/>
          <w:shd w:val="clear" w:color="auto" w:fill="FFFFFF"/>
          <w:lang w:val="en-US" w:eastAsia="zh-CN" w:bidi="ar-SA"/>
        </w:rPr>
        <w:t>202</w:t>
      </w:r>
      <w:r>
        <w:rPr>
          <w:rFonts w:hint="default" w:ascii="仿宋" w:hAnsi="仿宋" w:eastAsia="仿宋" w:cs="仿宋"/>
          <w:b w:val="0"/>
          <w:bCs/>
          <w:kern w:val="0"/>
          <w:sz w:val="32"/>
          <w:szCs w:val="32"/>
          <w:shd w:val="clear" w:color="auto" w:fill="FFFFFF"/>
          <w:lang w:eastAsia="zh-CN" w:bidi="ar-SA"/>
        </w:rPr>
        <w:t>3</w:t>
      </w:r>
      <w:r>
        <w:rPr>
          <w:rFonts w:hint="eastAsia" w:ascii="仿宋" w:hAnsi="仿宋" w:eastAsia="仿宋" w:cs="仿宋"/>
          <w:b w:val="0"/>
          <w:bCs/>
          <w:kern w:val="0"/>
          <w:sz w:val="32"/>
          <w:szCs w:val="32"/>
          <w:shd w:val="clear" w:color="auto" w:fill="FFFFFF"/>
          <w:lang w:val="en-US" w:eastAsia="zh-CN" w:bidi="ar-SA"/>
        </w:rPr>
        <w:t>年度，我单位在市委市政府的领导下，在市财政局的直接指导下，严格遵守《行政事业单位会计制度》，做到资金高度集中，按照先保人员工资，再保政府正常运转，再保其他支出的管理原则，确保了今年我单位财政的各项正常运转。现就2023年度部门整体支出绩效评价如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 w:lineRule="atLeast"/>
        <w:ind w:right="0" w:rightChars="0"/>
        <w:jc w:val="left"/>
        <w:textAlignment w:val="auto"/>
        <w:rPr>
          <w:rFonts w:hint="eastAsia" w:ascii="仿宋" w:hAnsi="仿宋" w:eastAsia="仿宋" w:cs="仿宋"/>
          <w:b/>
          <w:bCs w:val="0"/>
          <w:color w:val="493F43"/>
          <w:kern w:val="0"/>
          <w:sz w:val="32"/>
          <w:szCs w:val="32"/>
          <w:u w:val="none"/>
          <w:shd w:val="clear" w:color="auto" w:fill="FFFFFF"/>
          <w:lang w:val="en-US" w:eastAsia="zh-CN"/>
        </w:rPr>
      </w:pPr>
      <w:r>
        <w:rPr>
          <w:rFonts w:hint="eastAsia" w:ascii="仿宋" w:hAnsi="仿宋" w:eastAsia="仿宋" w:cs="仿宋"/>
          <w:b/>
          <w:bCs w:val="0"/>
          <w:color w:val="493F43"/>
          <w:kern w:val="0"/>
          <w:sz w:val="32"/>
          <w:szCs w:val="32"/>
          <w:u w:val="none"/>
          <w:shd w:val="clear" w:color="auto" w:fill="FFFFFF"/>
          <w:lang w:val="en-US" w:eastAsia="zh-CN"/>
        </w:rPr>
        <w:t>一、单位概况</w:t>
      </w:r>
    </w:p>
    <w:p>
      <w:pPr>
        <w:pStyle w:val="7"/>
        <w:keepNext w:val="0"/>
        <w:keepLines w:val="0"/>
        <w:widowControl/>
        <w:numPr>
          <w:ilvl w:val="0"/>
          <w:numId w:val="0"/>
        </w:numPr>
        <w:suppressLineNumbers w:val="0"/>
        <w:spacing w:before="0" w:beforeAutospacing="0" w:after="0" w:afterAutospacing="0" w:line="33" w:lineRule="atLeast"/>
        <w:ind w:right="0" w:rightChars="0"/>
        <w:jc w:val="both"/>
        <w:rPr>
          <w:rFonts w:hint="eastAsia" w:ascii="仿宋" w:hAnsi="仿宋" w:eastAsia="仿宋" w:cs="仿宋"/>
          <w:b/>
          <w:bCs w:val="0"/>
          <w:sz w:val="32"/>
          <w:szCs w:val="32"/>
          <w:u w:val="none"/>
        </w:rPr>
      </w:pPr>
      <w:r>
        <w:rPr>
          <w:rFonts w:hint="eastAsia" w:ascii="仿宋" w:hAnsi="仿宋" w:eastAsia="仿宋" w:cs="仿宋"/>
          <w:b/>
          <w:bCs w:val="0"/>
          <w:color w:val="493F43"/>
          <w:kern w:val="0"/>
          <w:sz w:val="32"/>
          <w:szCs w:val="32"/>
          <w:u w:val="none"/>
          <w:shd w:val="clear" w:color="auto" w:fill="FFFFFF"/>
          <w:lang w:val="en-US" w:eastAsia="zh-CN"/>
        </w:rPr>
        <w:t>（一）、</w:t>
      </w:r>
      <w:r>
        <w:rPr>
          <w:rFonts w:hint="eastAsia" w:ascii="仿宋" w:hAnsi="仿宋" w:eastAsia="仿宋" w:cs="仿宋"/>
          <w:b/>
          <w:bCs w:val="0"/>
          <w:i w:val="0"/>
          <w:iCs w:val="0"/>
          <w:caps w:val="0"/>
          <w:color w:val="222222"/>
          <w:spacing w:val="0"/>
          <w:sz w:val="32"/>
          <w:szCs w:val="32"/>
          <w:shd w:val="clear" w:fill="FFFFFF"/>
          <w:lang w:val="en-US" w:eastAsia="zh-CN"/>
        </w:rPr>
        <w:t>单位</w:t>
      </w:r>
      <w:r>
        <w:rPr>
          <w:rFonts w:hint="eastAsia" w:ascii="仿宋" w:hAnsi="仿宋" w:eastAsia="仿宋" w:cs="仿宋"/>
          <w:b/>
          <w:bCs w:val="0"/>
          <w:i w:val="0"/>
          <w:iCs w:val="0"/>
          <w:caps w:val="0"/>
          <w:color w:val="222222"/>
          <w:spacing w:val="0"/>
          <w:sz w:val="32"/>
          <w:szCs w:val="32"/>
          <w:shd w:val="clear" w:fill="FFFFFF"/>
        </w:rPr>
        <w:t>基本情况</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1、单位主要职责</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（1）、 在上级和镇党委领导下，执行本级人民代表大会的决议，根据上级行政机关的决定和命令，制定具体实施意见。</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（2）、 执行本行政区域内的经济和社会发展计划、财政预算，管理全镇的农业、工业及教育、科枝、文化、卫生、计划生育、民政、司法及镇新农村规划和建设、环境保护、土地等行政工作。</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（3）、保护集体财产和公民私人合法财产，维护社会秩序，保障公民的人事权利、民主权利和其他合法权利。</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（4）、保护各种经济组织的合法权益。</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 xml:space="preserve">（5）、办理上级人民政府交办的其他事项。  </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2、机构情况</w:t>
      </w:r>
    </w:p>
    <w:p>
      <w:pPr>
        <w:widowControl/>
        <w:spacing w:line="560" w:lineRule="exact"/>
        <w:ind w:firstLine="66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color w:val="493F43"/>
          <w:kern w:val="0"/>
          <w:sz w:val="32"/>
          <w:szCs w:val="32"/>
          <w:u w:val="none"/>
          <w:shd w:val="clear" w:color="auto" w:fill="FFFFFF"/>
          <w:lang w:val="en-US" w:eastAsia="zh-CN"/>
        </w:rPr>
        <w:t xml:space="preserve"> </w:t>
      </w:r>
      <w:r>
        <w:rPr>
          <w:rFonts w:hint="eastAsia" w:ascii="仿宋" w:hAnsi="仿宋" w:eastAsia="仿宋" w:cs="仿宋"/>
          <w:b w:val="0"/>
          <w:bCs/>
          <w:kern w:val="0"/>
          <w:sz w:val="32"/>
          <w:szCs w:val="32"/>
          <w:shd w:val="clear" w:color="auto" w:fill="FFFFFF"/>
          <w:lang w:val="en-US" w:eastAsia="zh-CN" w:bidi="ar-SA"/>
        </w:rPr>
        <w:t>祁阳市大忠桥镇人民政府内设机构包括：党政办公室、基层党建办公室、经济发展办公室、社会事务办公室、自然资源和生态环境办公室、社会治安和应急管理办公室、社会事业综合服务中心、农业综合服务中心、政务便民服务中心、退役军人服务站、综合行政执法大队。</w:t>
      </w:r>
    </w:p>
    <w:p>
      <w:pPr>
        <w:pStyle w:val="7"/>
        <w:widowControl/>
        <w:numPr>
          <w:ilvl w:val="0"/>
          <w:numId w:val="0"/>
        </w:numPr>
        <w:pBdr>
          <w:top w:val="none" w:color="auto" w:sz="0" w:space="0"/>
          <w:left w:val="none" w:color="auto" w:sz="0" w:space="0"/>
          <w:bottom w:val="none" w:color="auto" w:sz="0" w:space="0"/>
          <w:right w:val="none" w:color="auto" w:sz="0" w:space="0"/>
        </w:pBdr>
        <w:spacing w:before="0" w:beforeAutospacing="0" w:after="212" w:afterAutospacing="0" w:line="440" w:lineRule="atLeast"/>
        <w:ind w:right="0" w:rightChars="0" w:firstLine="640" w:firstLineChars="20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3、人员编制情况</w:t>
      </w:r>
    </w:p>
    <w:p>
      <w:pPr>
        <w:pStyle w:val="7"/>
        <w:widowControl/>
        <w:pBdr>
          <w:top w:val="none" w:color="auto" w:sz="0" w:space="0"/>
          <w:left w:val="none" w:color="auto" w:sz="0" w:space="0"/>
          <w:bottom w:val="none" w:color="auto" w:sz="0" w:space="0"/>
          <w:right w:val="none" w:color="auto" w:sz="0" w:space="0"/>
        </w:pBdr>
        <w:spacing w:before="0" w:beforeAutospacing="0" w:after="212" w:afterAutospacing="0" w:line="440" w:lineRule="atLeast"/>
        <w:ind w:left="0" w:right="0" w:firstLine="640" w:firstLineChars="200"/>
        <w:jc w:val="left"/>
        <w:rPr>
          <w:rFonts w:hint="eastAsia" w:ascii="仿宋" w:hAnsi="仿宋" w:eastAsia="仿宋" w:cs="仿宋"/>
          <w:b w:val="0"/>
          <w:bCs/>
          <w:kern w:val="0"/>
          <w:sz w:val="32"/>
          <w:szCs w:val="32"/>
          <w:shd w:val="clear" w:color="auto" w:fill="FFFFFF"/>
          <w:lang w:val="en-US" w:eastAsia="zh-CN" w:bidi="ar-SA"/>
        </w:rPr>
      </w:pPr>
      <w:r>
        <w:rPr>
          <w:rFonts w:hint="eastAsia" w:ascii="仿宋" w:hAnsi="仿宋" w:eastAsia="仿宋" w:cs="仿宋"/>
          <w:b w:val="0"/>
          <w:bCs/>
          <w:kern w:val="0"/>
          <w:sz w:val="32"/>
          <w:szCs w:val="32"/>
          <w:shd w:val="clear" w:color="auto" w:fill="FFFFFF"/>
          <w:lang w:val="en-US" w:eastAsia="zh-CN" w:bidi="ar-SA"/>
        </w:rPr>
        <w:t>202</w:t>
      </w:r>
      <w:r>
        <w:rPr>
          <w:rFonts w:hint="default" w:ascii="仿宋" w:hAnsi="仿宋" w:eastAsia="仿宋" w:cs="仿宋"/>
          <w:b w:val="0"/>
          <w:bCs/>
          <w:kern w:val="0"/>
          <w:sz w:val="32"/>
          <w:szCs w:val="32"/>
          <w:shd w:val="clear" w:color="auto" w:fill="FFFFFF"/>
          <w:lang w:eastAsia="zh-CN" w:bidi="ar-SA"/>
        </w:rPr>
        <w:t>3</w:t>
      </w:r>
      <w:r>
        <w:rPr>
          <w:rFonts w:hint="eastAsia" w:ascii="仿宋" w:hAnsi="仿宋" w:eastAsia="仿宋" w:cs="仿宋"/>
          <w:b w:val="0"/>
          <w:bCs/>
          <w:kern w:val="0"/>
          <w:sz w:val="32"/>
          <w:szCs w:val="32"/>
          <w:shd w:val="clear" w:color="auto" w:fill="FFFFFF"/>
          <w:lang w:val="en-US" w:eastAsia="zh-CN" w:bidi="ar-SA"/>
        </w:rPr>
        <w:t>年本单位人员编制108人，在编干部职工</w:t>
      </w:r>
      <w:r>
        <w:rPr>
          <w:rFonts w:hint="default" w:ascii="仿宋" w:hAnsi="仿宋" w:eastAsia="仿宋" w:cs="仿宋"/>
          <w:b w:val="0"/>
          <w:bCs/>
          <w:kern w:val="0"/>
          <w:sz w:val="32"/>
          <w:szCs w:val="32"/>
          <w:shd w:val="clear" w:color="auto" w:fill="FFFFFF"/>
          <w:lang w:eastAsia="zh-CN" w:bidi="ar-SA"/>
        </w:rPr>
        <w:t>9</w:t>
      </w:r>
      <w:r>
        <w:rPr>
          <w:rFonts w:hint="eastAsia" w:ascii="仿宋" w:hAnsi="仿宋" w:eastAsia="仿宋" w:cs="仿宋"/>
          <w:b w:val="0"/>
          <w:bCs/>
          <w:kern w:val="0"/>
          <w:sz w:val="32"/>
          <w:szCs w:val="32"/>
          <w:shd w:val="clear" w:color="auto" w:fill="FFFFFF"/>
          <w:lang w:val="en-US" w:eastAsia="zh-CN" w:bidi="ar-SA"/>
        </w:rPr>
        <w:t>9人，实有人员99人，退休人员41人。</w:t>
      </w:r>
    </w:p>
    <w:p>
      <w:pPr>
        <w:pStyle w:val="7"/>
        <w:keepNext w:val="0"/>
        <w:keepLines w:val="0"/>
        <w:widowControl/>
        <w:numPr>
          <w:ilvl w:val="0"/>
          <w:numId w:val="0"/>
        </w:numPr>
        <w:suppressLineNumbers w:val="0"/>
        <w:spacing w:before="0" w:beforeAutospacing="0" w:after="0" w:afterAutospacing="0" w:line="33" w:lineRule="atLeast"/>
        <w:ind w:right="0" w:rightChars="0"/>
        <w:jc w:val="both"/>
        <w:rPr>
          <w:rFonts w:hint="eastAsia" w:ascii="仿宋" w:hAnsi="仿宋" w:eastAsia="仿宋" w:cs="仿宋"/>
          <w:b/>
          <w:bCs w:val="0"/>
          <w:color w:val="493F43"/>
          <w:kern w:val="0"/>
          <w:sz w:val="32"/>
          <w:szCs w:val="32"/>
          <w:u w:val="none"/>
          <w:shd w:val="clear" w:color="auto" w:fill="FFFFFF"/>
          <w:lang w:val="en-US" w:eastAsia="zh-CN"/>
        </w:rPr>
      </w:pPr>
      <w:r>
        <w:rPr>
          <w:rFonts w:hint="eastAsia" w:ascii="仿宋" w:hAnsi="仿宋" w:eastAsia="仿宋" w:cs="仿宋"/>
          <w:b/>
          <w:bCs w:val="0"/>
          <w:color w:val="493F43"/>
          <w:kern w:val="0"/>
          <w:sz w:val="32"/>
          <w:szCs w:val="32"/>
          <w:u w:val="none"/>
          <w:shd w:val="clear" w:color="auto" w:fill="FFFFFF"/>
          <w:lang w:val="en-US" w:eastAsia="zh-CN"/>
        </w:rPr>
        <w:t>（二）、部门（单位）整体支出规模、使用方向和主要内容、涉及范围等</w:t>
      </w:r>
    </w:p>
    <w:p>
      <w:pPr>
        <w:pStyle w:val="7"/>
        <w:spacing w:before="0" w:beforeAutospacing="0" w:after="106" w:afterAutospacing="0" w:line="440" w:lineRule="atLeast"/>
        <w:ind w:firstLine="640" w:firstLineChars="200"/>
        <w:rPr>
          <w:rFonts w:hint="eastAsia" w:ascii="仿宋" w:hAnsi="仿宋" w:eastAsia="仿宋" w:cs="仿宋"/>
          <w:b w:val="0"/>
          <w:bCs/>
          <w:sz w:val="32"/>
          <w:szCs w:val="32"/>
          <w:shd w:val="clear" w:color="auto" w:fill="FFFFFF"/>
          <w:lang w:val="en-US" w:eastAsia="zh-CN"/>
        </w:rPr>
      </w:pPr>
      <w:r>
        <w:rPr>
          <w:rFonts w:hint="eastAsia" w:ascii="仿宋" w:hAnsi="仿宋" w:eastAsia="仿宋" w:cs="仿宋"/>
          <w:b w:val="0"/>
          <w:bCs/>
          <w:sz w:val="32"/>
          <w:szCs w:val="32"/>
          <w:shd w:val="clear" w:color="auto" w:fill="FFFFFF"/>
          <w:lang w:val="en-US" w:eastAsia="zh-CN"/>
        </w:rPr>
        <w:t>本单位202</w:t>
      </w:r>
      <w:r>
        <w:rPr>
          <w:rFonts w:hint="default" w:ascii="仿宋" w:hAnsi="仿宋" w:eastAsia="仿宋" w:cs="仿宋"/>
          <w:b w:val="0"/>
          <w:bCs/>
          <w:sz w:val="32"/>
          <w:szCs w:val="32"/>
          <w:shd w:val="clear" w:color="auto" w:fill="FFFFFF"/>
          <w:lang w:eastAsia="zh-CN"/>
        </w:rPr>
        <w:t>3</w:t>
      </w:r>
      <w:r>
        <w:rPr>
          <w:rFonts w:hint="eastAsia" w:ascii="仿宋" w:hAnsi="仿宋" w:eastAsia="仿宋" w:cs="仿宋"/>
          <w:b w:val="0"/>
          <w:bCs/>
          <w:sz w:val="32"/>
          <w:szCs w:val="32"/>
          <w:shd w:val="clear" w:color="auto" w:fill="FFFFFF"/>
          <w:lang w:val="en-US" w:eastAsia="zh-CN"/>
        </w:rPr>
        <w:t>年部门支出2272.13万元，具体情况如下：</w:t>
      </w:r>
    </w:p>
    <w:p>
      <w:pPr>
        <w:pStyle w:val="7"/>
        <w:spacing w:before="0" w:beforeAutospacing="0" w:after="106" w:afterAutospacing="0" w:line="440" w:lineRule="atLeast"/>
        <w:ind w:firstLine="640" w:firstLineChars="200"/>
        <w:rPr>
          <w:rFonts w:hint="eastAsia" w:ascii="仿宋" w:hAnsi="仿宋" w:eastAsia="仿宋" w:cs="仿宋"/>
          <w:b w:val="0"/>
          <w:bCs/>
          <w:sz w:val="32"/>
          <w:szCs w:val="32"/>
          <w:shd w:val="clear" w:color="auto" w:fill="FFFFFF"/>
          <w:lang w:val="en-US" w:eastAsia="zh-CN"/>
        </w:rPr>
      </w:pPr>
      <w:r>
        <w:rPr>
          <w:rFonts w:hint="eastAsia" w:ascii="仿宋" w:hAnsi="仿宋" w:eastAsia="仿宋" w:cs="仿宋"/>
          <w:b w:val="0"/>
          <w:bCs/>
          <w:sz w:val="32"/>
          <w:szCs w:val="32"/>
          <w:shd w:val="clear" w:color="auto" w:fill="FFFFFF"/>
          <w:lang w:val="en-US" w:eastAsia="zh-CN"/>
        </w:rPr>
        <w:t>基本支出2105.17万元，其中工资福利支出1180.58万元，商品和服务支出212.61万元，对个人和家庭的补助711.98万元。项目支出166.97万元，其中资本性支出166.97万元。</w:t>
      </w:r>
    </w:p>
    <w:p>
      <w:pPr>
        <w:spacing w:line="560" w:lineRule="exact"/>
        <w:rPr>
          <w:rFonts w:hint="eastAsia" w:ascii="仿宋" w:hAnsi="仿宋" w:eastAsia="仿宋" w:cs="仿宋"/>
          <w:b/>
          <w:bCs w:val="0"/>
          <w:sz w:val="32"/>
          <w:szCs w:val="32"/>
        </w:rPr>
      </w:pPr>
      <w:r>
        <w:rPr>
          <w:rFonts w:hint="eastAsia" w:ascii="仿宋" w:hAnsi="仿宋" w:eastAsia="仿宋" w:cs="仿宋"/>
          <w:b/>
          <w:bCs w:val="0"/>
          <w:sz w:val="32"/>
          <w:szCs w:val="32"/>
        </w:rPr>
        <w:t>二、部门（单位）整体支出管理及使用情况</w:t>
      </w:r>
    </w:p>
    <w:p>
      <w:pPr>
        <w:pStyle w:val="7"/>
        <w:spacing w:before="0" w:beforeAutospacing="0" w:after="106" w:afterAutospacing="0" w:line="440" w:lineRule="atLeast"/>
        <w:rPr>
          <w:rFonts w:hint="eastAsia" w:ascii="仿宋" w:hAnsi="仿宋" w:eastAsia="仿宋" w:cs="仿宋"/>
          <w:b/>
          <w:bCs w:val="0"/>
          <w:sz w:val="32"/>
          <w:szCs w:val="32"/>
        </w:rPr>
      </w:pPr>
      <w:r>
        <w:rPr>
          <w:rFonts w:hint="eastAsia" w:ascii="仿宋" w:hAnsi="仿宋" w:eastAsia="仿宋" w:cs="仿宋"/>
          <w:b/>
          <w:bCs w:val="0"/>
          <w:sz w:val="32"/>
          <w:szCs w:val="32"/>
        </w:rPr>
        <w:t>（一）基本支出</w:t>
      </w:r>
    </w:p>
    <w:p>
      <w:pPr>
        <w:pStyle w:val="7"/>
        <w:spacing w:before="0" w:beforeAutospacing="0" w:after="106" w:afterAutospacing="0" w:line="440" w:lineRule="atLeast"/>
        <w:ind w:firstLine="640" w:firstLineChars="200"/>
        <w:rPr>
          <w:rFonts w:hint="eastAsia" w:ascii="仿宋" w:hAnsi="仿宋" w:eastAsia="仿宋" w:cs="仿宋"/>
          <w:b w:val="0"/>
          <w:bCs/>
          <w:sz w:val="32"/>
          <w:szCs w:val="32"/>
          <w:shd w:val="clear" w:color="auto" w:fill="FFFFFF"/>
          <w:lang w:eastAsia="zh-CN"/>
        </w:rPr>
      </w:pPr>
      <w:r>
        <w:rPr>
          <w:rFonts w:hint="eastAsia" w:ascii="仿宋" w:hAnsi="仿宋" w:eastAsia="仿宋" w:cs="仿宋"/>
          <w:b w:val="0"/>
          <w:bCs/>
          <w:sz w:val="32"/>
          <w:szCs w:val="32"/>
        </w:rPr>
        <w:t>202</w:t>
      </w:r>
      <w:r>
        <w:rPr>
          <w:rFonts w:hint="default" w:ascii="仿宋" w:hAnsi="仿宋" w:eastAsia="仿宋" w:cs="仿宋"/>
          <w:b w:val="0"/>
          <w:bCs/>
          <w:sz w:val="32"/>
          <w:szCs w:val="32"/>
        </w:rPr>
        <w:t>3</w:t>
      </w:r>
      <w:r>
        <w:rPr>
          <w:rFonts w:hint="eastAsia" w:ascii="仿宋" w:hAnsi="仿宋" w:eastAsia="仿宋" w:cs="仿宋"/>
          <w:b w:val="0"/>
          <w:bCs/>
          <w:sz w:val="32"/>
          <w:szCs w:val="32"/>
        </w:rPr>
        <w:t>年度财政拨款基本支出</w:t>
      </w:r>
      <w:r>
        <w:rPr>
          <w:rFonts w:hint="eastAsia" w:ascii="仿宋" w:hAnsi="仿宋" w:eastAsia="仿宋" w:cs="仿宋"/>
          <w:b w:val="0"/>
          <w:bCs/>
          <w:sz w:val="32"/>
          <w:szCs w:val="32"/>
          <w:lang w:val="en-US" w:eastAsia="zh-CN"/>
        </w:rPr>
        <w:t>2105.17</w:t>
      </w:r>
      <w:r>
        <w:rPr>
          <w:rFonts w:hint="eastAsia" w:ascii="仿宋" w:hAnsi="仿宋" w:eastAsia="仿宋" w:cs="仿宋"/>
          <w:b w:val="0"/>
          <w:bCs/>
          <w:sz w:val="32"/>
          <w:szCs w:val="32"/>
        </w:rPr>
        <w:t>万元，</w:t>
      </w:r>
      <w:r>
        <w:rPr>
          <w:rFonts w:hint="eastAsia" w:ascii="仿宋" w:hAnsi="仿宋" w:eastAsia="仿宋" w:cs="仿宋"/>
          <w:b w:val="0"/>
          <w:bCs/>
          <w:sz w:val="32"/>
          <w:szCs w:val="32"/>
          <w:shd w:val="clear" w:color="auto" w:fill="FFFFFF"/>
        </w:rPr>
        <w:t>其中：人员经费</w:t>
      </w:r>
      <w:r>
        <w:rPr>
          <w:rFonts w:hint="eastAsia" w:ascii="仿宋" w:hAnsi="仿宋" w:eastAsia="仿宋" w:cs="仿宋"/>
          <w:b w:val="0"/>
          <w:bCs/>
          <w:sz w:val="32"/>
          <w:szCs w:val="32"/>
          <w:shd w:val="clear" w:color="auto" w:fill="FFFFFF"/>
          <w:lang w:val="en-US" w:eastAsia="zh-CN"/>
        </w:rPr>
        <w:t>1892.56</w:t>
      </w:r>
      <w:r>
        <w:rPr>
          <w:rFonts w:hint="eastAsia" w:ascii="仿宋" w:hAnsi="仿宋" w:eastAsia="仿宋" w:cs="仿宋"/>
          <w:b w:val="0"/>
          <w:bCs/>
          <w:sz w:val="32"/>
          <w:szCs w:val="32"/>
          <w:shd w:val="clear" w:color="auto" w:fill="FFFFFF"/>
        </w:rPr>
        <w:t>万元，占基本支出的</w:t>
      </w:r>
      <w:r>
        <w:rPr>
          <w:rFonts w:hint="eastAsia" w:ascii="仿宋" w:hAnsi="仿宋" w:eastAsia="仿宋" w:cs="仿宋"/>
          <w:b w:val="0"/>
          <w:bCs/>
          <w:sz w:val="32"/>
          <w:szCs w:val="32"/>
          <w:shd w:val="clear" w:color="auto" w:fill="FFFFFF"/>
          <w:lang w:val="en-US" w:eastAsia="zh-CN"/>
        </w:rPr>
        <w:t>89.9</w:t>
      </w:r>
      <w:r>
        <w:rPr>
          <w:rFonts w:hint="eastAsia" w:ascii="仿宋" w:hAnsi="仿宋" w:eastAsia="仿宋" w:cs="仿宋"/>
          <w:b w:val="0"/>
          <w:bCs/>
          <w:sz w:val="32"/>
          <w:szCs w:val="32"/>
          <w:shd w:val="clear" w:color="auto" w:fill="FFFFFF"/>
        </w:rPr>
        <w:t>%,主要包括基本工资、津贴补贴、奖金、绩效工资、机关事业单位基本养老保险缴费、职业年金缴费、职工基本医疗保险缴费、其他社区保障缴费、住房公积金、医疗费、其他工资福利支出、抚恤金、生活补助、个人农业生产补贴、其他对个人和家庭的补助；公用经费</w:t>
      </w:r>
      <w:r>
        <w:rPr>
          <w:rFonts w:hint="eastAsia" w:ascii="仿宋" w:hAnsi="仿宋" w:eastAsia="仿宋" w:cs="仿宋"/>
          <w:b w:val="0"/>
          <w:bCs/>
          <w:sz w:val="32"/>
          <w:szCs w:val="32"/>
          <w:shd w:val="clear" w:color="auto" w:fill="FFFFFF"/>
          <w:lang w:val="en-US" w:eastAsia="zh-CN"/>
        </w:rPr>
        <w:t>212.61</w:t>
      </w:r>
      <w:r>
        <w:rPr>
          <w:rFonts w:hint="eastAsia" w:ascii="仿宋" w:hAnsi="仿宋" w:eastAsia="仿宋" w:cs="仿宋"/>
          <w:b w:val="0"/>
          <w:bCs/>
          <w:sz w:val="32"/>
          <w:szCs w:val="32"/>
          <w:shd w:val="clear" w:color="auto" w:fill="FFFFFF"/>
        </w:rPr>
        <w:t>万元，占基本支出的</w:t>
      </w:r>
      <w:r>
        <w:rPr>
          <w:rFonts w:hint="eastAsia" w:ascii="仿宋" w:hAnsi="仿宋" w:eastAsia="仿宋" w:cs="仿宋"/>
          <w:b w:val="0"/>
          <w:bCs/>
          <w:sz w:val="32"/>
          <w:szCs w:val="32"/>
          <w:shd w:val="clear" w:color="auto" w:fill="FFFFFF"/>
          <w:lang w:val="en-US" w:eastAsia="zh-CN"/>
        </w:rPr>
        <w:t>10.1</w:t>
      </w:r>
      <w:r>
        <w:rPr>
          <w:rFonts w:hint="eastAsia" w:ascii="仿宋" w:hAnsi="仿宋" w:eastAsia="仿宋" w:cs="仿宋"/>
          <w:b w:val="0"/>
          <w:bCs/>
          <w:sz w:val="32"/>
          <w:szCs w:val="32"/>
          <w:shd w:val="clear" w:color="auto" w:fill="FFFFFF"/>
        </w:rPr>
        <w:t>%，主要包括办公费、印刷费、水费、电费、邮电费、差旅费、</w:t>
      </w:r>
      <w:r>
        <w:rPr>
          <w:rFonts w:hint="eastAsia" w:ascii="仿宋" w:hAnsi="仿宋" w:eastAsia="仿宋" w:cs="仿宋"/>
          <w:b w:val="0"/>
          <w:bCs/>
          <w:sz w:val="32"/>
          <w:szCs w:val="32"/>
          <w:shd w:val="clear" w:color="auto" w:fill="FFFFFF"/>
          <w:lang w:val="en-US" w:eastAsia="zh-CN"/>
        </w:rPr>
        <w:t>维修费、租赁费、</w:t>
      </w:r>
      <w:r>
        <w:rPr>
          <w:rFonts w:hint="eastAsia" w:ascii="仿宋" w:hAnsi="仿宋" w:eastAsia="仿宋" w:cs="仿宋"/>
          <w:b w:val="0"/>
          <w:bCs/>
          <w:sz w:val="32"/>
          <w:szCs w:val="32"/>
          <w:shd w:val="clear" w:color="auto" w:fill="FFFFFF"/>
        </w:rPr>
        <w:t>会议费、培训费、公务接持费、专用材料费、其他交通费、</w:t>
      </w:r>
      <w:r>
        <w:rPr>
          <w:rFonts w:hint="eastAsia" w:ascii="仿宋" w:hAnsi="仿宋" w:eastAsia="仿宋" w:cs="仿宋"/>
          <w:b w:val="0"/>
          <w:bCs/>
          <w:sz w:val="32"/>
          <w:szCs w:val="32"/>
          <w:shd w:val="clear" w:color="auto" w:fill="FFFFFF"/>
          <w:lang w:val="en-US" w:eastAsia="zh-CN"/>
        </w:rPr>
        <w:t>公用车运行维护费、</w:t>
      </w:r>
      <w:r>
        <w:rPr>
          <w:rFonts w:hint="eastAsia" w:ascii="仿宋" w:hAnsi="仿宋" w:eastAsia="仿宋" w:cs="仿宋"/>
          <w:b w:val="0"/>
          <w:bCs/>
          <w:sz w:val="32"/>
          <w:szCs w:val="32"/>
          <w:shd w:val="clear" w:color="auto" w:fill="FFFFFF"/>
        </w:rPr>
        <w:t>其他商品和服务支出</w:t>
      </w:r>
      <w:r>
        <w:rPr>
          <w:rFonts w:hint="eastAsia" w:ascii="仿宋" w:hAnsi="仿宋" w:eastAsia="仿宋" w:cs="仿宋"/>
          <w:b w:val="0"/>
          <w:bCs/>
          <w:sz w:val="32"/>
          <w:szCs w:val="32"/>
          <w:shd w:val="clear" w:color="auto" w:fill="FFFFFF"/>
          <w:lang w:eastAsia="zh-CN"/>
        </w:rPr>
        <w:t>。</w:t>
      </w:r>
    </w:p>
    <w:p>
      <w:pPr>
        <w:pStyle w:val="7"/>
        <w:spacing w:before="0" w:beforeAutospacing="0" w:after="106" w:afterAutospacing="0" w:line="440" w:lineRule="atLeast"/>
        <w:rPr>
          <w:rFonts w:hint="eastAsia" w:ascii="仿宋" w:hAnsi="仿宋" w:eastAsia="仿宋" w:cs="仿宋"/>
          <w:b/>
          <w:bCs w:val="0"/>
          <w:sz w:val="32"/>
          <w:szCs w:val="32"/>
        </w:rPr>
      </w:pPr>
      <w:r>
        <w:rPr>
          <w:rFonts w:hint="eastAsia" w:ascii="仿宋" w:hAnsi="仿宋" w:eastAsia="仿宋" w:cs="仿宋"/>
          <w:b/>
          <w:bCs w:val="0"/>
          <w:sz w:val="32"/>
          <w:szCs w:val="32"/>
        </w:rPr>
        <w:t>（二）项目支出</w:t>
      </w: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项目资金安排落实、总投入等情况分析</w:t>
      </w:r>
    </w:p>
    <w:p>
      <w:pPr>
        <w:pStyle w:val="7"/>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rPr>
        <w:t>202</w:t>
      </w:r>
      <w:r>
        <w:rPr>
          <w:rFonts w:hint="default" w:ascii="仿宋" w:hAnsi="仿宋" w:eastAsia="仿宋" w:cs="仿宋"/>
          <w:b w:val="0"/>
          <w:bCs/>
          <w:sz w:val="32"/>
          <w:szCs w:val="32"/>
        </w:rPr>
        <w:t>3</w:t>
      </w:r>
      <w:r>
        <w:rPr>
          <w:rFonts w:hint="eastAsia" w:ascii="仿宋" w:hAnsi="仿宋" w:eastAsia="仿宋" w:cs="仿宋"/>
          <w:b w:val="0"/>
          <w:bCs/>
          <w:sz w:val="32"/>
          <w:szCs w:val="32"/>
        </w:rPr>
        <w:t>年本</w:t>
      </w:r>
      <w:r>
        <w:rPr>
          <w:rFonts w:hint="eastAsia" w:ascii="仿宋" w:hAnsi="仿宋" w:eastAsia="仿宋" w:cs="仿宋"/>
          <w:b w:val="0"/>
          <w:bCs/>
          <w:sz w:val="32"/>
          <w:szCs w:val="32"/>
          <w:lang w:val="en-US" w:eastAsia="zh-CN"/>
        </w:rPr>
        <w:t>单位</w:t>
      </w:r>
      <w:r>
        <w:rPr>
          <w:rFonts w:hint="eastAsia" w:ascii="仿宋" w:hAnsi="仿宋" w:eastAsia="仿宋" w:cs="仿宋"/>
          <w:b w:val="0"/>
          <w:bCs/>
          <w:sz w:val="32"/>
          <w:szCs w:val="32"/>
        </w:rPr>
        <w:t>项目</w:t>
      </w:r>
      <w:r>
        <w:rPr>
          <w:rFonts w:hint="eastAsia" w:ascii="仿宋" w:hAnsi="仿宋" w:eastAsia="仿宋" w:cs="仿宋"/>
          <w:b w:val="0"/>
          <w:bCs/>
          <w:sz w:val="32"/>
          <w:szCs w:val="32"/>
          <w:lang w:val="en-US" w:eastAsia="zh-CN"/>
        </w:rPr>
        <w:t>资金安排166.97万元，其中办公设备购置费0万元、基础设施建设166.97万元，</w:t>
      </w:r>
      <w:r>
        <w:rPr>
          <w:rFonts w:hint="eastAsia" w:ascii="仿宋" w:hAnsi="仿宋" w:eastAsia="仿宋" w:cs="仿宋"/>
          <w:i w:val="0"/>
          <w:iCs w:val="0"/>
          <w:caps w:val="0"/>
          <w:color w:val="222222"/>
          <w:spacing w:val="0"/>
          <w:sz w:val="32"/>
          <w:szCs w:val="32"/>
          <w:shd w:val="clear" w:fill="FFFFFF"/>
        </w:rPr>
        <w:t>资金到位率为100%</w:t>
      </w:r>
      <w:r>
        <w:rPr>
          <w:rFonts w:hint="eastAsia" w:ascii="仿宋" w:hAnsi="仿宋" w:eastAsia="仿宋" w:cs="仿宋"/>
          <w:b w:val="0"/>
          <w:bCs/>
          <w:sz w:val="32"/>
          <w:szCs w:val="32"/>
          <w:lang w:val="en-US" w:eastAsia="zh-CN"/>
        </w:rPr>
        <w:t>。</w:t>
      </w: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项目资金实际使用情况分析</w:t>
      </w:r>
    </w:p>
    <w:p>
      <w:pPr>
        <w:spacing w:line="560" w:lineRule="exact"/>
        <w:ind w:firstLine="640" w:firstLineChars="200"/>
        <w:rPr>
          <w:rFonts w:hint="eastAsia" w:ascii="仿宋" w:hAnsi="仿宋" w:eastAsia="仿宋" w:cs="仿宋"/>
          <w:b w:val="0"/>
          <w:bCs/>
          <w:kern w:val="0"/>
          <w:sz w:val="32"/>
          <w:szCs w:val="32"/>
          <w:highlight w:val="white"/>
          <w:lang w:val="en-US" w:eastAsia="zh-CN"/>
        </w:rPr>
      </w:pPr>
      <w:r>
        <w:rPr>
          <w:rFonts w:hint="eastAsia" w:ascii="仿宋" w:hAnsi="仿宋" w:eastAsia="仿宋" w:cs="仿宋"/>
          <w:b w:val="0"/>
          <w:bCs/>
          <w:kern w:val="0"/>
          <w:sz w:val="32"/>
          <w:szCs w:val="32"/>
          <w:lang w:val="zh-CN" w:eastAsia="zh-CN" w:bidi="ar-SA"/>
        </w:rPr>
        <w:t>202</w:t>
      </w:r>
      <w:r>
        <w:rPr>
          <w:rFonts w:hint="eastAsia" w:ascii="仿宋" w:hAnsi="仿宋" w:eastAsia="仿宋" w:cs="仿宋"/>
          <w:b w:val="0"/>
          <w:bCs/>
          <w:kern w:val="0"/>
          <w:sz w:val="32"/>
          <w:szCs w:val="32"/>
          <w:lang w:val="en-US" w:eastAsia="zh-CN" w:bidi="ar-SA"/>
        </w:rPr>
        <w:t>3</w:t>
      </w:r>
      <w:r>
        <w:rPr>
          <w:rFonts w:hint="eastAsia" w:ascii="仿宋" w:hAnsi="仿宋" w:eastAsia="仿宋" w:cs="仿宋"/>
          <w:b w:val="0"/>
          <w:bCs/>
          <w:kern w:val="0"/>
          <w:sz w:val="32"/>
          <w:szCs w:val="32"/>
          <w:lang w:val="zh-CN" w:eastAsia="zh-CN" w:bidi="ar-SA"/>
        </w:rPr>
        <w:t>年度</w:t>
      </w:r>
      <w:r>
        <w:rPr>
          <w:rFonts w:hint="eastAsia" w:ascii="仿宋" w:hAnsi="仿宋" w:eastAsia="仿宋" w:cs="仿宋"/>
          <w:b w:val="0"/>
          <w:bCs/>
          <w:kern w:val="0"/>
          <w:sz w:val="32"/>
          <w:szCs w:val="32"/>
          <w:lang w:val="en-US" w:eastAsia="zh-CN" w:bidi="ar-SA"/>
        </w:rPr>
        <w:t>财政拨款项目支出166.97万元，其中包括：办公设备购置费0万元，基础设施费166.97万元，资金使用率为100%。</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3、项目资金管理情况分析</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（1）、抓好厉行节约源头控制，严格执行部门预算，加快支出进度，做到基本与时间进度同步。</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（2）、规范支付流程。严格执行相关财务管理制度，事前预算，事中精算，事后决算，费用支付过程中，严格程序和审批手续，确保资金使用规范合理。</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（3）、强化管理正作风，不断加强队伍管理。积极开展各种形式的廉政警示教育，强化了廉政风险预防，有效转变了队伍作风。</w:t>
      </w:r>
    </w:p>
    <w:p>
      <w:pPr>
        <w:spacing w:line="560" w:lineRule="exact"/>
        <w:rPr>
          <w:rFonts w:hint="eastAsia" w:ascii="仿宋" w:hAnsi="仿宋" w:eastAsia="仿宋" w:cs="仿宋"/>
          <w:b/>
          <w:bCs w:val="0"/>
          <w:sz w:val="32"/>
          <w:szCs w:val="32"/>
        </w:rPr>
      </w:pPr>
      <w:r>
        <w:rPr>
          <w:rFonts w:hint="eastAsia" w:ascii="仿宋" w:hAnsi="仿宋" w:eastAsia="仿宋" w:cs="仿宋"/>
          <w:b/>
          <w:bCs w:val="0"/>
          <w:sz w:val="32"/>
          <w:szCs w:val="32"/>
        </w:rPr>
        <w:t>三、部门（单位）整体支出绩效情况</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jc w:val="left"/>
        <w:rPr>
          <w:rFonts w:hint="eastAsia" w:ascii="仿宋" w:hAnsi="仿宋" w:eastAsia="仿宋" w:cs="仿宋"/>
          <w:b/>
          <w:bCs w:val="0"/>
          <w:sz w:val="32"/>
          <w:szCs w:val="32"/>
          <w:u w:val="none"/>
        </w:rPr>
      </w:pPr>
      <w:r>
        <w:rPr>
          <w:rFonts w:hint="eastAsia" w:ascii="仿宋" w:hAnsi="仿宋" w:eastAsia="仿宋" w:cs="仿宋"/>
          <w:b/>
          <w:bCs w:val="0"/>
          <w:color w:val="493F43"/>
          <w:kern w:val="0"/>
          <w:sz w:val="32"/>
          <w:szCs w:val="32"/>
          <w:u w:val="none"/>
          <w:shd w:val="clear" w:color="auto" w:fill="FFFFFF"/>
          <w:lang w:val="en-US" w:eastAsia="zh-CN"/>
        </w:rPr>
        <w:t>（一）部门整体支出绩效目标完成情况</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1、强化基层党建，不断夯实执政根基。对机关支部党员加强理想信念教育；党支部政治思想素质和抓党建能力不断提高，党建引领作用彰显，为实现街道跨越发展提供坚强保障。</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2、狠抓村社综合服务平台建设。把村社综合服务平台建设作为一项重要工作来抓。</w:t>
      </w:r>
    </w:p>
    <w:p>
      <w:pPr>
        <w:spacing w:line="560" w:lineRule="exact"/>
        <w:ind w:firstLine="640" w:firstLineChars="200"/>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3、推进城乡建设，街道面貌持续美化。深入开展“一拆二改三种四清洁”专项整治行动，农村、城乡结合部共拆除危房、改厕，完成全镇改厕任务。大力开展秋冬农业生产；清理各类水面垃圾等。</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jc w:val="left"/>
        <w:rPr>
          <w:rFonts w:hint="eastAsia" w:ascii="仿宋" w:hAnsi="仿宋" w:eastAsia="仿宋" w:cs="仿宋"/>
          <w:b/>
          <w:bCs w:val="0"/>
          <w:sz w:val="32"/>
          <w:szCs w:val="32"/>
          <w:u w:val="none"/>
        </w:rPr>
      </w:pPr>
      <w:r>
        <w:rPr>
          <w:rFonts w:hint="eastAsia" w:ascii="仿宋" w:hAnsi="仿宋" w:eastAsia="仿宋" w:cs="仿宋"/>
          <w:b/>
          <w:bCs w:val="0"/>
          <w:color w:val="493F43"/>
          <w:kern w:val="0"/>
          <w:sz w:val="32"/>
          <w:szCs w:val="32"/>
          <w:u w:val="none"/>
          <w:shd w:val="clear" w:color="auto" w:fill="FFFFFF"/>
          <w:lang w:val="en-US" w:eastAsia="zh-CN"/>
        </w:rPr>
        <w:t>（二）部门整体支出效益情况</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我单位严格按照上级专项资金管理办法使用资金，确保专项资金专款专用。专项资金主要用于行政运行、社会保障，卫生健康，精准扶贫、救助慰问、农村建设、社会综合治理、城乡风貌改造等方面。</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firstLine="640" w:firstLineChars="2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1、部门整体支出定性目标及实施计划完成情况。</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本年预算配置控制较好，财政供养人员控制在预算编制以内，“三公”经费支出总额较上年减少。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任务目标。2023年全面完成了上级主管部门下达我镇的各项工作任务和重点工作计划。</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firstLine="640" w:firstLineChars="2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2、资金管理情况。</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我镇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项目资金全部通过财政国库集中支付方式直接拨给项目实施单位。</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firstLine="640" w:firstLineChars="2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3、项目实施组织管理情况。</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我镇项目实施和资金使用分配坚持班子人员集体决策。对各类项目制订工作方案，明确时间节点，开展项目规划设计、部署工作，认真落实项目任务。工作中突出重点，高标准规划、精细设计，通过财政局评审，明确由镇负责人监督，并在规定时间完成项目。各类工作责任制得到有效落实。</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right="0"/>
        <w:jc w:val="left"/>
        <w:rPr>
          <w:rFonts w:hint="eastAsia" w:ascii="仿宋" w:hAnsi="仿宋" w:eastAsia="仿宋" w:cs="仿宋"/>
          <w:b w:val="0"/>
          <w:bCs/>
          <w:color w:val="493F43"/>
          <w:kern w:val="0"/>
          <w:sz w:val="32"/>
          <w:szCs w:val="32"/>
          <w:u w:val="none"/>
          <w:shd w:val="clear" w:color="auto" w:fill="FFFFFF"/>
          <w:lang w:val="en-US" w:eastAsia="zh-CN"/>
        </w:rPr>
      </w:pPr>
      <w:r>
        <w:rPr>
          <w:rFonts w:hint="eastAsia" w:ascii="仿宋" w:hAnsi="仿宋" w:eastAsia="仿宋" w:cs="仿宋"/>
          <w:b/>
          <w:bCs w:val="0"/>
          <w:color w:val="493F43"/>
          <w:kern w:val="0"/>
          <w:sz w:val="32"/>
          <w:szCs w:val="32"/>
          <w:u w:val="none"/>
          <w:shd w:val="clear" w:color="auto" w:fill="FFFFFF"/>
          <w:lang w:val="en-US" w:eastAsia="zh-CN"/>
        </w:rPr>
        <w:t>四、绩效及评价结论</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2023年大忠桥镇人民政府部门整体支出绩效自评99.2分，通过加强预算收支管理，不断建立健全内部管理制度，梳理内部管理流程，整体支出管理水平得到提升，各项绩效指标均达到了预期效果。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50" w:beforeAutospacing="0" w:after="120" w:afterAutospacing="0" w:line="540" w:lineRule="atLeast"/>
        <w:ind w:right="1083" w:rightChars="0"/>
        <w:jc w:val="both"/>
        <w:textAlignment w:val="auto"/>
        <w:rPr>
          <w:rFonts w:hint="eastAsia" w:ascii="仿宋" w:hAnsi="仿宋" w:eastAsia="仿宋" w:cs="仿宋"/>
          <w:b/>
          <w:bCs w:val="0"/>
          <w:color w:val="493F43"/>
          <w:kern w:val="0"/>
          <w:sz w:val="32"/>
          <w:szCs w:val="32"/>
          <w:u w:val="none"/>
          <w:shd w:val="clear" w:color="auto" w:fill="FFFFFF"/>
          <w:lang w:val="en-US" w:eastAsia="zh-CN"/>
        </w:rPr>
      </w:pPr>
      <w:r>
        <w:rPr>
          <w:rFonts w:hint="eastAsia" w:ascii="仿宋" w:hAnsi="仿宋" w:eastAsia="仿宋" w:cs="仿宋"/>
          <w:b/>
          <w:bCs w:val="0"/>
          <w:color w:val="493F43"/>
          <w:kern w:val="0"/>
          <w:sz w:val="32"/>
          <w:szCs w:val="32"/>
          <w:u w:val="none"/>
          <w:shd w:val="clear" w:color="auto" w:fill="FFFFFF"/>
          <w:lang w:val="en-US" w:eastAsia="zh-CN"/>
        </w:rPr>
        <w:t>五、存在的主要问题</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一是财务制度有待进一步健全，基本支出有待进一步细化；</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二是队伍专业素质不强，克难奋进精神不够。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50" w:beforeAutospacing="0" w:after="120" w:afterAutospacing="0" w:line="540" w:lineRule="atLeast"/>
        <w:ind w:right="1083" w:rightChars="0"/>
        <w:jc w:val="both"/>
        <w:textAlignment w:val="auto"/>
        <w:rPr>
          <w:rFonts w:hint="eastAsia" w:ascii="仿宋" w:hAnsi="仿宋" w:eastAsia="仿宋" w:cs="仿宋"/>
          <w:b/>
          <w:bCs w:val="0"/>
          <w:color w:val="493F43"/>
          <w:kern w:val="0"/>
          <w:sz w:val="32"/>
          <w:szCs w:val="32"/>
          <w:u w:val="none"/>
          <w:shd w:val="clear" w:color="auto" w:fill="FFFFFF"/>
          <w:lang w:val="en-US" w:eastAsia="zh-CN"/>
        </w:rPr>
      </w:pPr>
      <w:r>
        <w:rPr>
          <w:rFonts w:hint="eastAsia" w:ascii="仿宋" w:hAnsi="仿宋" w:eastAsia="仿宋" w:cs="仿宋"/>
          <w:b/>
          <w:bCs w:val="0"/>
          <w:color w:val="493F43"/>
          <w:kern w:val="0"/>
          <w:sz w:val="32"/>
          <w:szCs w:val="32"/>
          <w:u w:val="none"/>
          <w:shd w:val="clear" w:color="auto" w:fill="FFFFFF"/>
          <w:lang w:val="en-US" w:eastAsia="zh-CN"/>
        </w:rPr>
        <w:t>六、改进措施和有关建议</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一是健全财务制度，进一步细化基本支出；</w:t>
      </w:r>
    </w:p>
    <w:p>
      <w:pPr>
        <w:pStyle w:val="7"/>
        <w:widowControl/>
        <w:pBdr>
          <w:top w:val="none" w:color="auto" w:sz="0" w:space="0"/>
          <w:left w:val="none" w:color="auto" w:sz="0" w:space="0"/>
          <w:bottom w:val="none" w:color="auto" w:sz="0" w:space="0"/>
          <w:right w:val="none" w:color="auto" w:sz="0" w:space="0"/>
        </w:pBdr>
        <w:spacing w:before="0" w:beforeAutospacing="0" w:after="105" w:afterAutospacing="0" w:line="440" w:lineRule="atLeast"/>
        <w:ind w:left="0" w:right="0" w:firstLine="960" w:firstLineChars="300"/>
        <w:jc w:val="left"/>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二是提高队伍专业素质，发扬争先创优精神。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50" w:beforeAutospacing="0" w:after="120" w:afterAutospacing="0" w:line="540" w:lineRule="atLeast"/>
        <w:ind w:right="1083" w:firstLine="560" w:firstLineChars="200"/>
        <w:jc w:val="both"/>
        <w:textAlignment w:val="auto"/>
        <w:rPr>
          <w:rFonts w:hint="eastAsia" w:ascii="宋体" w:hAnsi="宋体" w:eastAsia="宋体" w:cs="宋体"/>
          <w:b w:val="0"/>
          <w:bCs/>
          <w:color w:val="493F43"/>
          <w:kern w:val="0"/>
          <w:sz w:val="28"/>
          <w:szCs w:val="28"/>
          <w:u w:val="none"/>
          <w:shd w:val="clear" w:color="auto" w:fill="FFFFFF"/>
          <w:lang w:val="en-US" w:eastAsia="zh-CN"/>
        </w:rPr>
      </w:pPr>
    </w:p>
    <w:p>
      <w:pPr>
        <w:pStyle w:val="12"/>
        <w:jc w:val="center"/>
        <w:rPr>
          <w:sz w:val="72"/>
          <w:szCs w:val="72"/>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SimSun-ExtB"/>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6A92B"/>
    <w:multiLevelType w:val="singleLevel"/>
    <w:tmpl w:val="6916A92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GM1NWUwY2ZhOWQwYjgyNjA0YzNhYmU2OTk3OGYifQ=="/>
    <w:docVar w:name="KSO_WPS_MARK_KEY" w:val="6cd43765-0f82-4ee6-8d59-982400f6b889"/>
  </w:docVars>
  <w:rsids>
    <w:rsidRoot w:val="004506F9"/>
    <w:rsid w:val="0002229B"/>
    <w:rsid w:val="000273BD"/>
    <w:rsid w:val="00040CBC"/>
    <w:rsid w:val="000415B7"/>
    <w:rsid w:val="00041E3F"/>
    <w:rsid w:val="00055DAA"/>
    <w:rsid w:val="00061F7B"/>
    <w:rsid w:val="000658A3"/>
    <w:rsid w:val="00074155"/>
    <w:rsid w:val="000A3F69"/>
    <w:rsid w:val="000C1A3A"/>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C61F7"/>
    <w:rsid w:val="002E0A30"/>
    <w:rsid w:val="003130C4"/>
    <w:rsid w:val="00316C4B"/>
    <w:rsid w:val="0032192B"/>
    <w:rsid w:val="003479BD"/>
    <w:rsid w:val="0035513D"/>
    <w:rsid w:val="0037197D"/>
    <w:rsid w:val="003768D5"/>
    <w:rsid w:val="003926B9"/>
    <w:rsid w:val="003C47E6"/>
    <w:rsid w:val="003C4FC2"/>
    <w:rsid w:val="003F4FCD"/>
    <w:rsid w:val="00416E61"/>
    <w:rsid w:val="0042790C"/>
    <w:rsid w:val="004506F9"/>
    <w:rsid w:val="004717A2"/>
    <w:rsid w:val="00473DF3"/>
    <w:rsid w:val="00487911"/>
    <w:rsid w:val="00491741"/>
    <w:rsid w:val="004B0CEE"/>
    <w:rsid w:val="004B490B"/>
    <w:rsid w:val="004F69ED"/>
    <w:rsid w:val="00500E5F"/>
    <w:rsid w:val="005122EF"/>
    <w:rsid w:val="0051441A"/>
    <w:rsid w:val="00517C33"/>
    <w:rsid w:val="00517D5F"/>
    <w:rsid w:val="00522798"/>
    <w:rsid w:val="00523644"/>
    <w:rsid w:val="0054069E"/>
    <w:rsid w:val="00544866"/>
    <w:rsid w:val="0055702E"/>
    <w:rsid w:val="005767CC"/>
    <w:rsid w:val="00590D9F"/>
    <w:rsid w:val="00595D26"/>
    <w:rsid w:val="005A74E6"/>
    <w:rsid w:val="005B404E"/>
    <w:rsid w:val="005D4D55"/>
    <w:rsid w:val="005E2CFB"/>
    <w:rsid w:val="005F2103"/>
    <w:rsid w:val="005F3D1C"/>
    <w:rsid w:val="0062378F"/>
    <w:rsid w:val="0063460F"/>
    <w:rsid w:val="00641842"/>
    <w:rsid w:val="00651EEC"/>
    <w:rsid w:val="00686673"/>
    <w:rsid w:val="00691E8C"/>
    <w:rsid w:val="006A22C4"/>
    <w:rsid w:val="006A351B"/>
    <w:rsid w:val="006B0422"/>
    <w:rsid w:val="006C1B53"/>
    <w:rsid w:val="006D7730"/>
    <w:rsid w:val="006E5284"/>
    <w:rsid w:val="006F3EB5"/>
    <w:rsid w:val="006F6DBA"/>
    <w:rsid w:val="00702E34"/>
    <w:rsid w:val="0070358A"/>
    <w:rsid w:val="00704395"/>
    <w:rsid w:val="00710FE7"/>
    <w:rsid w:val="00714BD6"/>
    <w:rsid w:val="00717621"/>
    <w:rsid w:val="00720FF1"/>
    <w:rsid w:val="00727A53"/>
    <w:rsid w:val="00787B42"/>
    <w:rsid w:val="007C4539"/>
    <w:rsid w:val="007F3456"/>
    <w:rsid w:val="007F3657"/>
    <w:rsid w:val="0080586C"/>
    <w:rsid w:val="00812ED5"/>
    <w:rsid w:val="008277D9"/>
    <w:rsid w:val="0084478C"/>
    <w:rsid w:val="0086638C"/>
    <w:rsid w:val="008A3E8D"/>
    <w:rsid w:val="00904352"/>
    <w:rsid w:val="009237C4"/>
    <w:rsid w:val="00941560"/>
    <w:rsid w:val="00944C48"/>
    <w:rsid w:val="00950252"/>
    <w:rsid w:val="00967682"/>
    <w:rsid w:val="00967F5D"/>
    <w:rsid w:val="009A0F95"/>
    <w:rsid w:val="009B3ADF"/>
    <w:rsid w:val="009C3B52"/>
    <w:rsid w:val="009E6817"/>
    <w:rsid w:val="009E6E9A"/>
    <w:rsid w:val="00A01D2B"/>
    <w:rsid w:val="00A0663D"/>
    <w:rsid w:val="00A42218"/>
    <w:rsid w:val="00A70249"/>
    <w:rsid w:val="00A70B02"/>
    <w:rsid w:val="00A71D9F"/>
    <w:rsid w:val="00A92E9F"/>
    <w:rsid w:val="00AB18FF"/>
    <w:rsid w:val="00B108C5"/>
    <w:rsid w:val="00B33BEA"/>
    <w:rsid w:val="00B41D60"/>
    <w:rsid w:val="00B57C9F"/>
    <w:rsid w:val="00B63572"/>
    <w:rsid w:val="00B845B3"/>
    <w:rsid w:val="00B85D8B"/>
    <w:rsid w:val="00BB4A40"/>
    <w:rsid w:val="00BD6C3E"/>
    <w:rsid w:val="00BE3674"/>
    <w:rsid w:val="00C10681"/>
    <w:rsid w:val="00C3049A"/>
    <w:rsid w:val="00C31B1E"/>
    <w:rsid w:val="00C612C9"/>
    <w:rsid w:val="00C77645"/>
    <w:rsid w:val="00CC0DE4"/>
    <w:rsid w:val="00CE04C3"/>
    <w:rsid w:val="00CE76A0"/>
    <w:rsid w:val="00D148C6"/>
    <w:rsid w:val="00D17A8A"/>
    <w:rsid w:val="00D415BA"/>
    <w:rsid w:val="00D63780"/>
    <w:rsid w:val="00D644EE"/>
    <w:rsid w:val="00DD06FF"/>
    <w:rsid w:val="00DD5FE9"/>
    <w:rsid w:val="00DE1B6F"/>
    <w:rsid w:val="00E00C7A"/>
    <w:rsid w:val="00E37D6C"/>
    <w:rsid w:val="00E55B68"/>
    <w:rsid w:val="00E561AE"/>
    <w:rsid w:val="00E67BE6"/>
    <w:rsid w:val="00E8683C"/>
    <w:rsid w:val="00EA2B72"/>
    <w:rsid w:val="00EB0B41"/>
    <w:rsid w:val="00F74360"/>
    <w:rsid w:val="00FB462F"/>
    <w:rsid w:val="00FE16FA"/>
    <w:rsid w:val="00FE328A"/>
    <w:rsid w:val="00FE6269"/>
    <w:rsid w:val="00FF5CD6"/>
    <w:rsid w:val="016C6CC6"/>
    <w:rsid w:val="016D7686"/>
    <w:rsid w:val="01F8330A"/>
    <w:rsid w:val="023D0B8F"/>
    <w:rsid w:val="027B0738"/>
    <w:rsid w:val="03144028"/>
    <w:rsid w:val="03BE7AAE"/>
    <w:rsid w:val="04E62E18"/>
    <w:rsid w:val="05200F21"/>
    <w:rsid w:val="05F27572"/>
    <w:rsid w:val="06E93094"/>
    <w:rsid w:val="07683FB9"/>
    <w:rsid w:val="07EA0E72"/>
    <w:rsid w:val="082A5712"/>
    <w:rsid w:val="095F2438"/>
    <w:rsid w:val="0A014251"/>
    <w:rsid w:val="0A053D41"/>
    <w:rsid w:val="0A840701"/>
    <w:rsid w:val="0AE027E5"/>
    <w:rsid w:val="0B420FC5"/>
    <w:rsid w:val="0B460AB5"/>
    <w:rsid w:val="0D2D49CD"/>
    <w:rsid w:val="0D2D4CA6"/>
    <w:rsid w:val="0D302C32"/>
    <w:rsid w:val="0F136F00"/>
    <w:rsid w:val="0FC61039"/>
    <w:rsid w:val="102D5D9F"/>
    <w:rsid w:val="110F780C"/>
    <w:rsid w:val="12133839"/>
    <w:rsid w:val="134578A4"/>
    <w:rsid w:val="13E8298D"/>
    <w:rsid w:val="140E413A"/>
    <w:rsid w:val="150624DA"/>
    <w:rsid w:val="16025568"/>
    <w:rsid w:val="165859EF"/>
    <w:rsid w:val="181F6915"/>
    <w:rsid w:val="18D314AE"/>
    <w:rsid w:val="19A277FE"/>
    <w:rsid w:val="1A8E7D82"/>
    <w:rsid w:val="1A9133CF"/>
    <w:rsid w:val="1AA44EB0"/>
    <w:rsid w:val="1AF7506B"/>
    <w:rsid w:val="1B0A0CAD"/>
    <w:rsid w:val="1C425ECC"/>
    <w:rsid w:val="1D8965DF"/>
    <w:rsid w:val="1DE33F41"/>
    <w:rsid w:val="1E1B192D"/>
    <w:rsid w:val="1E42335E"/>
    <w:rsid w:val="1E8525B2"/>
    <w:rsid w:val="1EA33723"/>
    <w:rsid w:val="1FAA11BB"/>
    <w:rsid w:val="20142AD8"/>
    <w:rsid w:val="210D23F1"/>
    <w:rsid w:val="213827F6"/>
    <w:rsid w:val="226C6BFB"/>
    <w:rsid w:val="22870621"/>
    <w:rsid w:val="230E7CB2"/>
    <w:rsid w:val="23452FA8"/>
    <w:rsid w:val="23490CEA"/>
    <w:rsid w:val="243674C1"/>
    <w:rsid w:val="24492FAF"/>
    <w:rsid w:val="2563786A"/>
    <w:rsid w:val="25B3069D"/>
    <w:rsid w:val="25C94365"/>
    <w:rsid w:val="26BC7A25"/>
    <w:rsid w:val="26F82BB3"/>
    <w:rsid w:val="27952750"/>
    <w:rsid w:val="27EA540D"/>
    <w:rsid w:val="28A013AD"/>
    <w:rsid w:val="28D177B8"/>
    <w:rsid w:val="293935AF"/>
    <w:rsid w:val="2A8820F8"/>
    <w:rsid w:val="2AB27175"/>
    <w:rsid w:val="2C8608B9"/>
    <w:rsid w:val="2CA5739C"/>
    <w:rsid w:val="2D410C84"/>
    <w:rsid w:val="2D605536"/>
    <w:rsid w:val="2D724AA8"/>
    <w:rsid w:val="2DB11966"/>
    <w:rsid w:val="2E24482E"/>
    <w:rsid w:val="2EFC12EE"/>
    <w:rsid w:val="2F8E2A53"/>
    <w:rsid w:val="31413B7F"/>
    <w:rsid w:val="3163741B"/>
    <w:rsid w:val="31E22A36"/>
    <w:rsid w:val="32475BAF"/>
    <w:rsid w:val="324F79A0"/>
    <w:rsid w:val="34012F1B"/>
    <w:rsid w:val="347476BF"/>
    <w:rsid w:val="34FB2CB6"/>
    <w:rsid w:val="35243922"/>
    <w:rsid w:val="35E9072D"/>
    <w:rsid w:val="35FB2318"/>
    <w:rsid w:val="370C2303"/>
    <w:rsid w:val="37464E45"/>
    <w:rsid w:val="37573DB4"/>
    <w:rsid w:val="37733392"/>
    <w:rsid w:val="377B08B2"/>
    <w:rsid w:val="37FA53DC"/>
    <w:rsid w:val="38213B8C"/>
    <w:rsid w:val="38343363"/>
    <w:rsid w:val="38BE762D"/>
    <w:rsid w:val="39203E44"/>
    <w:rsid w:val="39811605"/>
    <w:rsid w:val="399D6C8F"/>
    <w:rsid w:val="39E71901"/>
    <w:rsid w:val="3A56389A"/>
    <w:rsid w:val="3A792D38"/>
    <w:rsid w:val="3C872D5D"/>
    <w:rsid w:val="3ED0742A"/>
    <w:rsid w:val="3F546582"/>
    <w:rsid w:val="3F9966FE"/>
    <w:rsid w:val="3FC5545B"/>
    <w:rsid w:val="3FF06DF8"/>
    <w:rsid w:val="401B31E7"/>
    <w:rsid w:val="403C6F7D"/>
    <w:rsid w:val="43231DE4"/>
    <w:rsid w:val="43F403A7"/>
    <w:rsid w:val="442D2F17"/>
    <w:rsid w:val="44C24001"/>
    <w:rsid w:val="456A12C1"/>
    <w:rsid w:val="46B207D1"/>
    <w:rsid w:val="474D674C"/>
    <w:rsid w:val="47961EA1"/>
    <w:rsid w:val="481728B6"/>
    <w:rsid w:val="48902E55"/>
    <w:rsid w:val="49047C15"/>
    <w:rsid w:val="499441BE"/>
    <w:rsid w:val="49AF0FF8"/>
    <w:rsid w:val="4A0A4480"/>
    <w:rsid w:val="4A2F005D"/>
    <w:rsid w:val="4A68144A"/>
    <w:rsid w:val="4A992F83"/>
    <w:rsid w:val="4CFB4554"/>
    <w:rsid w:val="4DAD0C10"/>
    <w:rsid w:val="4DDC25D7"/>
    <w:rsid w:val="4F4B17C3"/>
    <w:rsid w:val="51A927D1"/>
    <w:rsid w:val="523823DC"/>
    <w:rsid w:val="528A287A"/>
    <w:rsid w:val="52BC64E4"/>
    <w:rsid w:val="52DB0B83"/>
    <w:rsid w:val="52DC6BD6"/>
    <w:rsid w:val="535A51E8"/>
    <w:rsid w:val="53AE2320"/>
    <w:rsid w:val="550741B9"/>
    <w:rsid w:val="560827FE"/>
    <w:rsid w:val="577218B7"/>
    <w:rsid w:val="5777D4F5"/>
    <w:rsid w:val="582E78FC"/>
    <w:rsid w:val="58931118"/>
    <w:rsid w:val="58B008E9"/>
    <w:rsid w:val="5903310E"/>
    <w:rsid w:val="590B6AA1"/>
    <w:rsid w:val="5A186885"/>
    <w:rsid w:val="5B1E7D8B"/>
    <w:rsid w:val="5B8816A9"/>
    <w:rsid w:val="5C0E0225"/>
    <w:rsid w:val="5D26561D"/>
    <w:rsid w:val="5DE03BD9"/>
    <w:rsid w:val="5DE828D3"/>
    <w:rsid w:val="5EA73737"/>
    <w:rsid w:val="5EED1AEF"/>
    <w:rsid w:val="5EF84D97"/>
    <w:rsid w:val="5EFA0866"/>
    <w:rsid w:val="5FC6BB1E"/>
    <w:rsid w:val="5FF720F1"/>
    <w:rsid w:val="604638E0"/>
    <w:rsid w:val="619E67BE"/>
    <w:rsid w:val="61EF2482"/>
    <w:rsid w:val="62092B87"/>
    <w:rsid w:val="625D388F"/>
    <w:rsid w:val="62FA7358"/>
    <w:rsid w:val="647F3C42"/>
    <w:rsid w:val="64DB0A9B"/>
    <w:rsid w:val="67105478"/>
    <w:rsid w:val="686958F6"/>
    <w:rsid w:val="68F3609B"/>
    <w:rsid w:val="6A4604BE"/>
    <w:rsid w:val="6A7B6367"/>
    <w:rsid w:val="6BEB3379"/>
    <w:rsid w:val="6CE34991"/>
    <w:rsid w:val="6D8C5DA5"/>
    <w:rsid w:val="6F063804"/>
    <w:rsid w:val="6F0B400A"/>
    <w:rsid w:val="6F6618A9"/>
    <w:rsid w:val="6F736737"/>
    <w:rsid w:val="6FA06B69"/>
    <w:rsid w:val="701477F8"/>
    <w:rsid w:val="70713D92"/>
    <w:rsid w:val="707357E9"/>
    <w:rsid w:val="725E2D0C"/>
    <w:rsid w:val="72A42E14"/>
    <w:rsid w:val="734F0FD2"/>
    <w:rsid w:val="734F4414"/>
    <w:rsid w:val="737D59BA"/>
    <w:rsid w:val="742A7349"/>
    <w:rsid w:val="748051EA"/>
    <w:rsid w:val="75DC28C5"/>
    <w:rsid w:val="76215633"/>
    <w:rsid w:val="766A1AE4"/>
    <w:rsid w:val="767C4FE6"/>
    <w:rsid w:val="76AC45BC"/>
    <w:rsid w:val="76EA2DC0"/>
    <w:rsid w:val="779B0367"/>
    <w:rsid w:val="77C37683"/>
    <w:rsid w:val="77E51F05"/>
    <w:rsid w:val="79041559"/>
    <w:rsid w:val="79AE0B68"/>
    <w:rsid w:val="79D46AB8"/>
    <w:rsid w:val="79FF515B"/>
    <w:rsid w:val="7A1B0BBE"/>
    <w:rsid w:val="7CB37A17"/>
    <w:rsid w:val="7CC04CEF"/>
    <w:rsid w:val="7CC9327A"/>
    <w:rsid w:val="7CCD740C"/>
    <w:rsid w:val="7D541577"/>
    <w:rsid w:val="7DD32415"/>
    <w:rsid w:val="7E1A3F8B"/>
    <w:rsid w:val="7E9F11B4"/>
    <w:rsid w:val="7F6C6A68"/>
    <w:rsid w:val="7F9F0FE3"/>
    <w:rsid w:val="7FB35315"/>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11516</Words>
  <Characters>14391</Characters>
  <Lines>65</Lines>
  <Paragraphs>18</Paragraphs>
  <TotalTime>311</TotalTime>
  <ScaleCrop>false</ScaleCrop>
  <LinksUpToDate>false</LinksUpToDate>
  <CharactersWithSpaces>15193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庄启程</cp:lastModifiedBy>
  <cp:lastPrinted>2023-11-03T01:13:00Z</cp:lastPrinted>
  <dcterms:modified xsi:type="dcterms:W3CDTF">2024-09-18T07:20:40Z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FEA6584410A74E318F9FE98891B588BE_13</vt:lpwstr>
  </property>
</Properties>
</file>