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F8FA">
      <w:pPr>
        <w:pStyle w:val="15"/>
        <w:jc w:val="center"/>
        <w:rPr>
          <w:rFonts w:asciiTheme="minorEastAsia" w:hAnsiTheme="minorEastAsia" w:eastAsiaTheme="minorEastAsia"/>
          <w:sz w:val="56"/>
          <w:szCs w:val="56"/>
          <w:highlight w:val="none"/>
        </w:rPr>
      </w:pPr>
    </w:p>
    <w:p w14:paraId="00C52D98">
      <w:pPr>
        <w:pStyle w:val="15"/>
        <w:jc w:val="center"/>
        <w:rPr>
          <w:rFonts w:asciiTheme="minorEastAsia" w:hAnsiTheme="minorEastAsia" w:eastAsiaTheme="minorEastAsia"/>
          <w:sz w:val="56"/>
          <w:szCs w:val="56"/>
          <w:highlight w:val="none"/>
        </w:rPr>
      </w:pPr>
    </w:p>
    <w:p w14:paraId="4F82082C">
      <w:pPr>
        <w:pStyle w:val="15"/>
        <w:jc w:val="center"/>
        <w:rPr>
          <w:rFonts w:asciiTheme="minorEastAsia" w:hAnsiTheme="minorEastAsia" w:eastAsiaTheme="minorEastAsia"/>
          <w:sz w:val="84"/>
          <w:szCs w:val="84"/>
          <w:highlight w:val="none"/>
        </w:rPr>
      </w:pPr>
    </w:p>
    <w:p w14:paraId="4268EFB3">
      <w:pPr>
        <w:pStyle w:val="15"/>
        <w:jc w:val="center"/>
        <w:rPr>
          <w:rFonts w:asciiTheme="minorEastAsia" w:hAnsiTheme="minorEastAsia" w:eastAsiaTheme="minorEastAsia"/>
          <w:sz w:val="84"/>
          <w:szCs w:val="84"/>
          <w:highlight w:val="none"/>
        </w:rPr>
      </w:pPr>
    </w:p>
    <w:p w14:paraId="06B48E20">
      <w:pPr>
        <w:pStyle w:val="15"/>
        <w:jc w:val="center"/>
        <w:rPr>
          <w:rFonts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lang w:eastAsia="zh-CN"/>
        </w:rPr>
        <w:t>2023</w:t>
      </w:r>
      <w:r>
        <w:rPr>
          <w:rFonts w:hint="eastAsia" w:ascii="方正小标宋_GBK" w:hAnsi="方正小标宋_GBK" w:eastAsia="方正小标宋_GBK" w:cs="方正小标宋_GBK"/>
          <w:sz w:val="84"/>
          <w:szCs w:val="84"/>
          <w:highlight w:val="none"/>
        </w:rPr>
        <w:t>年度</w:t>
      </w:r>
    </w:p>
    <w:p w14:paraId="5CC8C514">
      <w:pPr>
        <w:pStyle w:val="15"/>
        <w:jc w:val="center"/>
        <w:rPr>
          <w:rFonts w:hint="eastAsia" w:asciiTheme="minorEastAsia" w:hAnsiTheme="minorEastAsia" w:eastAsiaTheme="minorEastAsia"/>
          <w:sz w:val="84"/>
          <w:szCs w:val="84"/>
          <w:highlight w:val="none"/>
          <w:lang w:eastAsia="zh-CN"/>
        </w:rPr>
      </w:pPr>
      <w:r>
        <w:rPr>
          <w:rFonts w:hint="eastAsia" w:ascii="方正小标宋_GBK" w:hAnsi="方正小标宋_GBK" w:eastAsia="方正小标宋_GBK" w:cs="方正小标宋_GBK"/>
          <w:sz w:val="84"/>
          <w:szCs w:val="84"/>
          <w:highlight w:val="none"/>
          <w:lang w:val="en-US" w:eastAsia="zh-CN"/>
        </w:rPr>
        <w:t>祁阳市教育局</w:t>
      </w:r>
      <w:r>
        <w:rPr>
          <w:rFonts w:hint="eastAsia" w:ascii="方正小标宋_GBK" w:hAnsi="方正小标宋_GBK" w:eastAsia="方正小标宋_GBK" w:cs="方正小标宋_GBK"/>
          <w:sz w:val="84"/>
          <w:szCs w:val="84"/>
          <w:highlight w:val="none"/>
        </w:rPr>
        <w:t>部门决算</w:t>
      </w:r>
    </w:p>
    <w:p w14:paraId="35D818FF">
      <w:pPr>
        <w:pStyle w:val="15"/>
        <w:jc w:val="center"/>
        <w:rPr>
          <w:rFonts w:asciiTheme="minorEastAsia" w:hAnsiTheme="minorEastAsia" w:eastAsiaTheme="minorEastAsia"/>
          <w:sz w:val="56"/>
          <w:szCs w:val="56"/>
          <w:highlight w:val="none"/>
        </w:rPr>
      </w:pPr>
    </w:p>
    <w:p w14:paraId="5DDFF56A">
      <w:pPr>
        <w:pStyle w:val="15"/>
        <w:jc w:val="center"/>
        <w:rPr>
          <w:rFonts w:asciiTheme="minorEastAsia" w:hAnsiTheme="minorEastAsia" w:eastAsiaTheme="minorEastAsia"/>
          <w:sz w:val="56"/>
          <w:szCs w:val="56"/>
          <w:highlight w:val="none"/>
        </w:rPr>
      </w:pPr>
    </w:p>
    <w:p w14:paraId="6C6BA274">
      <w:pPr>
        <w:pStyle w:val="15"/>
        <w:jc w:val="center"/>
        <w:rPr>
          <w:rFonts w:asciiTheme="minorEastAsia" w:hAnsiTheme="minorEastAsia" w:eastAsiaTheme="minorEastAsia"/>
          <w:sz w:val="56"/>
          <w:szCs w:val="56"/>
          <w:highlight w:val="none"/>
        </w:rPr>
      </w:pPr>
    </w:p>
    <w:p w14:paraId="1674A1D9">
      <w:pPr>
        <w:pStyle w:val="15"/>
        <w:jc w:val="center"/>
        <w:rPr>
          <w:rFonts w:asciiTheme="minorEastAsia" w:hAnsiTheme="minorEastAsia" w:eastAsiaTheme="minorEastAsia"/>
          <w:sz w:val="56"/>
          <w:szCs w:val="56"/>
          <w:highlight w:val="none"/>
        </w:rPr>
      </w:pPr>
    </w:p>
    <w:p w14:paraId="3B8EC514">
      <w:pPr>
        <w:pStyle w:val="15"/>
        <w:jc w:val="center"/>
        <w:rPr>
          <w:rFonts w:asciiTheme="minorEastAsia" w:hAnsiTheme="minorEastAsia" w:eastAsiaTheme="minorEastAsia"/>
          <w:sz w:val="32"/>
          <w:szCs w:val="32"/>
          <w:highlight w:val="none"/>
        </w:rPr>
      </w:pPr>
    </w:p>
    <w:p w14:paraId="44F72186">
      <w:pPr>
        <w:pStyle w:val="15"/>
        <w:jc w:val="center"/>
        <w:rPr>
          <w:rFonts w:asciiTheme="minorEastAsia" w:hAnsiTheme="minorEastAsia" w:eastAsiaTheme="minorEastAsia"/>
          <w:sz w:val="32"/>
          <w:szCs w:val="32"/>
          <w:highlight w:val="none"/>
        </w:rPr>
      </w:pPr>
    </w:p>
    <w:p w14:paraId="612B407A">
      <w:pPr>
        <w:pStyle w:val="15"/>
        <w:jc w:val="center"/>
        <w:rPr>
          <w:rFonts w:asciiTheme="minorEastAsia" w:hAnsiTheme="minorEastAsia" w:eastAsiaTheme="minorEastAsia"/>
          <w:sz w:val="32"/>
          <w:szCs w:val="32"/>
          <w:highlight w:val="none"/>
        </w:rPr>
      </w:pPr>
    </w:p>
    <w:p w14:paraId="083513F6">
      <w:pPr>
        <w:pStyle w:val="15"/>
        <w:jc w:val="center"/>
        <w:rPr>
          <w:rFonts w:asciiTheme="minorEastAsia" w:hAnsiTheme="minorEastAsia" w:eastAsiaTheme="minorEastAsia"/>
          <w:sz w:val="32"/>
          <w:szCs w:val="32"/>
          <w:highlight w:val="none"/>
        </w:rPr>
      </w:pPr>
    </w:p>
    <w:p w14:paraId="7A4DDAB1">
      <w:pPr>
        <w:pStyle w:val="15"/>
        <w:jc w:val="center"/>
        <w:rPr>
          <w:rFonts w:asciiTheme="minorEastAsia" w:hAnsiTheme="minorEastAsia" w:eastAsiaTheme="minorEastAsia"/>
          <w:sz w:val="32"/>
          <w:szCs w:val="32"/>
          <w:highlight w:val="none"/>
        </w:rPr>
      </w:pPr>
    </w:p>
    <w:p w14:paraId="366C85F0">
      <w:pPr>
        <w:pStyle w:val="15"/>
        <w:spacing w:line="540" w:lineRule="exact"/>
        <w:jc w:val="center"/>
        <w:rPr>
          <w:rFonts w:asciiTheme="minorEastAsia" w:hAnsiTheme="minorEastAsia" w:eastAsiaTheme="minorEastAsia"/>
          <w:sz w:val="56"/>
          <w:szCs w:val="56"/>
          <w:highlight w:val="none"/>
        </w:rPr>
      </w:pPr>
    </w:p>
    <w:p w14:paraId="02F2E2EF">
      <w:pPr>
        <w:pStyle w:val="15"/>
        <w:spacing w:line="500" w:lineRule="exact"/>
        <w:jc w:val="center"/>
        <w:rPr>
          <w:rFonts w:asciiTheme="minorEastAsia" w:hAnsiTheme="minorEastAsia" w:eastAsiaTheme="minorEastAsia"/>
          <w:b/>
          <w:sz w:val="36"/>
          <w:szCs w:val="28"/>
          <w:highlight w:val="none"/>
        </w:rPr>
      </w:pPr>
    </w:p>
    <w:p w14:paraId="31C50227">
      <w:pPr>
        <w:pStyle w:val="15"/>
        <w:spacing w:line="500" w:lineRule="exact"/>
        <w:jc w:val="center"/>
        <w:rPr>
          <w:b/>
          <w:sz w:val="36"/>
          <w:szCs w:val="28"/>
          <w:highlight w:val="none"/>
        </w:rPr>
      </w:pPr>
      <w:r>
        <w:rPr>
          <w:rFonts w:hint="eastAsia"/>
          <w:b/>
          <w:sz w:val="36"/>
          <w:szCs w:val="28"/>
          <w:highlight w:val="none"/>
        </w:rPr>
        <w:t>目录</w:t>
      </w:r>
    </w:p>
    <w:p w14:paraId="194299B7">
      <w:pPr>
        <w:pStyle w:val="15"/>
        <w:spacing w:line="500" w:lineRule="exact"/>
        <w:rPr>
          <w:rFonts w:hAnsi="黑体"/>
          <w:bCs/>
          <w:sz w:val="28"/>
          <w:szCs w:val="28"/>
          <w:highlight w:val="none"/>
        </w:rPr>
      </w:pPr>
      <w:r>
        <w:rPr>
          <w:rFonts w:hint="eastAsia" w:hAnsi="黑体"/>
          <w:bCs/>
          <w:sz w:val="28"/>
          <w:szCs w:val="28"/>
          <w:highlight w:val="none"/>
        </w:rPr>
        <w:t xml:space="preserve">第一部分 </w:t>
      </w:r>
      <w:r>
        <w:rPr>
          <w:rFonts w:hint="eastAsia" w:hAnsi="黑体"/>
          <w:bCs/>
          <w:sz w:val="28"/>
          <w:szCs w:val="28"/>
          <w:highlight w:val="none"/>
          <w:lang w:val="en-US" w:eastAsia="zh-CN"/>
        </w:rPr>
        <w:t>祁阳市教育局</w:t>
      </w:r>
      <w:r>
        <w:rPr>
          <w:rFonts w:hint="eastAsia" w:hAnsi="黑体"/>
          <w:bCs/>
          <w:sz w:val="28"/>
          <w:szCs w:val="28"/>
          <w:highlight w:val="none"/>
        </w:rPr>
        <w:t>概况</w:t>
      </w:r>
    </w:p>
    <w:p w14:paraId="75F420D9">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一、部门职责</w:t>
      </w:r>
    </w:p>
    <w:p w14:paraId="2D3EF82D">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二、机构设置及决算单位构成</w:t>
      </w:r>
    </w:p>
    <w:p w14:paraId="257E45C0">
      <w:pPr>
        <w:pStyle w:val="15"/>
        <w:spacing w:line="500" w:lineRule="exact"/>
        <w:rPr>
          <w:rFonts w:hAnsi="黑体"/>
          <w:bCs/>
          <w:sz w:val="28"/>
          <w:szCs w:val="28"/>
          <w:highlight w:val="none"/>
        </w:rPr>
      </w:pPr>
      <w:r>
        <w:rPr>
          <w:rFonts w:hint="eastAsia" w:hAnsi="黑体"/>
          <w:bCs/>
          <w:sz w:val="28"/>
          <w:szCs w:val="28"/>
          <w:highlight w:val="none"/>
        </w:rPr>
        <w:t xml:space="preserve">第二部分 </w:t>
      </w:r>
      <w:r>
        <w:rPr>
          <w:rFonts w:hint="eastAsia" w:hAnsi="黑体"/>
          <w:bCs/>
          <w:sz w:val="28"/>
          <w:szCs w:val="28"/>
          <w:highlight w:val="none"/>
          <w:lang w:val="en-US" w:eastAsia="zh-CN"/>
        </w:rPr>
        <w:t>2023年度</w:t>
      </w:r>
      <w:r>
        <w:rPr>
          <w:rFonts w:hint="eastAsia" w:hAnsi="黑体"/>
          <w:bCs/>
          <w:sz w:val="28"/>
          <w:szCs w:val="28"/>
          <w:highlight w:val="none"/>
        </w:rPr>
        <w:t>部门决算表</w:t>
      </w:r>
    </w:p>
    <w:p w14:paraId="6A076AD2">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一、收入支出决算总表</w:t>
      </w:r>
    </w:p>
    <w:p w14:paraId="0B434A6C">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二、收入决算表</w:t>
      </w:r>
    </w:p>
    <w:p w14:paraId="39F24903">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三、支出决算表</w:t>
      </w:r>
    </w:p>
    <w:p w14:paraId="7A5FD9FB">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四、财政拨款收入支出决算总表</w:t>
      </w:r>
    </w:p>
    <w:p w14:paraId="75320F4F">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五、一般公共预算财政拨款支出决算表</w:t>
      </w:r>
    </w:p>
    <w:p w14:paraId="3462DBB5">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六、一般公共预算财政拨款基本支出决算明细表</w:t>
      </w:r>
    </w:p>
    <w:p w14:paraId="086A9081">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七、政府性基金预算财政拨款收入支出决算表</w:t>
      </w:r>
    </w:p>
    <w:p w14:paraId="31568442">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八、国有资本经营预算财政拨款支出决算表</w:t>
      </w:r>
    </w:p>
    <w:p w14:paraId="7CD6E825">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九、财政拨款“三公”经费支出决算表</w:t>
      </w:r>
    </w:p>
    <w:p w14:paraId="3C330898">
      <w:pPr>
        <w:pStyle w:val="15"/>
        <w:spacing w:line="500" w:lineRule="exact"/>
        <w:rPr>
          <w:rFonts w:hAnsi="黑体"/>
          <w:bCs/>
          <w:sz w:val="28"/>
          <w:szCs w:val="28"/>
          <w:highlight w:val="none"/>
        </w:rPr>
      </w:pPr>
      <w:r>
        <w:rPr>
          <w:rFonts w:hint="eastAsia" w:hAnsi="黑体"/>
          <w:bCs/>
          <w:sz w:val="28"/>
          <w:szCs w:val="28"/>
          <w:highlight w:val="none"/>
        </w:rPr>
        <w:t xml:space="preserve">第三部分 </w:t>
      </w:r>
      <w:r>
        <w:rPr>
          <w:rFonts w:hint="eastAsia" w:hAnsi="黑体"/>
          <w:bCs/>
          <w:sz w:val="28"/>
          <w:szCs w:val="28"/>
          <w:highlight w:val="none"/>
          <w:lang w:val="en-US" w:eastAsia="zh-CN"/>
        </w:rPr>
        <w:t>2023年度</w:t>
      </w:r>
      <w:r>
        <w:rPr>
          <w:rFonts w:hint="eastAsia" w:hAnsi="黑体"/>
          <w:bCs/>
          <w:sz w:val="28"/>
          <w:szCs w:val="28"/>
          <w:highlight w:val="none"/>
        </w:rPr>
        <w:t>部门决算情况说明</w:t>
      </w:r>
    </w:p>
    <w:p w14:paraId="73660AE3">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一、收入支出决算总体情况说明</w:t>
      </w:r>
    </w:p>
    <w:p w14:paraId="0278FFC5">
      <w:pPr>
        <w:spacing w:line="500" w:lineRule="exact"/>
        <w:ind w:firstLine="700" w:firstLineChars="25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二、收入决算情况说明</w:t>
      </w:r>
    </w:p>
    <w:p w14:paraId="004D578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三、支出决算情况说明</w:t>
      </w:r>
    </w:p>
    <w:p w14:paraId="0EC9275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四、财政拨款收入支出决算总体情况说明</w:t>
      </w:r>
    </w:p>
    <w:p w14:paraId="1161848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五、一般公共预算财政拨款支出决算情况说明</w:t>
      </w:r>
    </w:p>
    <w:p w14:paraId="206DE33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六、一般公共预算财政拨款基本支出决算情况说明</w:t>
      </w:r>
    </w:p>
    <w:p w14:paraId="3832E5E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七、财政拨款</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三公</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经费支出决算情况说明</w:t>
      </w:r>
    </w:p>
    <w:p w14:paraId="631291F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八、政府性基金预算收入支出决算情况</w:t>
      </w:r>
    </w:p>
    <w:p w14:paraId="4927BA8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九、关于机关运行经费支出说明</w:t>
      </w:r>
    </w:p>
    <w:p w14:paraId="4E35116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十、一般性支出情况说明</w:t>
      </w:r>
    </w:p>
    <w:p w14:paraId="57E33D2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十一、关于政府采购支出说明</w:t>
      </w:r>
    </w:p>
    <w:p w14:paraId="005C064D">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十二、关于国有资产占用情况说明</w:t>
      </w:r>
    </w:p>
    <w:p w14:paraId="2ED4C646">
      <w:pPr>
        <w:pStyle w:val="15"/>
        <w:spacing w:line="500" w:lineRule="exact"/>
        <w:ind w:firstLine="700" w:firstLineChars="25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十三、关于</w:t>
      </w:r>
      <w:r>
        <w:rPr>
          <w:rFonts w:hint="eastAsia" w:ascii="仿宋_GB2312" w:hAnsi="仿宋_GB2312" w:eastAsia="仿宋_GB2312" w:cs="仿宋_GB2312"/>
          <w:sz w:val="28"/>
          <w:szCs w:val="28"/>
          <w:highlight w:val="none"/>
          <w:lang w:val="en-US" w:eastAsia="zh-CN"/>
        </w:rPr>
        <w:t>2023年度</w:t>
      </w:r>
      <w:r>
        <w:rPr>
          <w:rFonts w:hint="eastAsia" w:ascii="仿宋_GB2312" w:hAnsi="仿宋_GB2312" w:eastAsia="仿宋_GB2312" w:cs="仿宋_GB2312"/>
          <w:sz w:val="28"/>
          <w:szCs w:val="28"/>
          <w:highlight w:val="none"/>
        </w:rPr>
        <w:t>预算绩效情况的说明</w:t>
      </w:r>
    </w:p>
    <w:p w14:paraId="4DA6DF57">
      <w:pPr>
        <w:pStyle w:val="15"/>
        <w:spacing w:line="500" w:lineRule="exact"/>
        <w:rPr>
          <w:rFonts w:hAnsi="黑体"/>
          <w:bCs/>
          <w:sz w:val="28"/>
          <w:szCs w:val="28"/>
          <w:highlight w:val="none"/>
        </w:rPr>
      </w:pPr>
      <w:r>
        <w:rPr>
          <w:rFonts w:hint="eastAsia" w:hAnsi="黑体"/>
          <w:bCs/>
          <w:sz w:val="28"/>
          <w:szCs w:val="28"/>
          <w:highlight w:val="none"/>
        </w:rPr>
        <w:t>第四部分 名词解释</w:t>
      </w:r>
    </w:p>
    <w:p w14:paraId="257E6A9D">
      <w:pPr>
        <w:pStyle w:val="15"/>
        <w:spacing w:line="500" w:lineRule="exact"/>
        <w:rPr>
          <w:rFonts w:hAnsi="黑体"/>
          <w:bCs/>
          <w:sz w:val="28"/>
          <w:szCs w:val="28"/>
          <w:highlight w:val="none"/>
        </w:rPr>
      </w:pPr>
      <w:r>
        <w:rPr>
          <w:rFonts w:hint="eastAsia" w:hAnsi="黑体"/>
          <w:bCs/>
          <w:sz w:val="28"/>
          <w:szCs w:val="28"/>
          <w:highlight w:val="none"/>
        </w:rPr>
        <w:t>第五部分 附件</w:t>
      </w:r>
    </w:p>
    <w:p w14:paraId="5A46C17F">
      <w:pPr>
        <w:jc w:val="center"/>
        <w:rPr>
          <w:rFonts w:asciiTheme="minorEastAsia" w:hAnsiTheme="minorEastAsia"/>
          <w:sz w:val="72"/>
          <w:szCs w:val="72"/>
          <w:highlight w:val="none"/>
        </w:rPr>
      </w:pPr>
    </w:p>
    <w:p w14:paraId="0D1350C3">
      <w:pPr>
        <w:jc w:val="center"/>
        <w:rPr>
          <w:rFonts w:asciiTheme="minorEastAsia" w:hAnsiTheme="minorEastAsia"/>
          <w:sz w:val="72"/>
          <w:szCs w:val="72"/>
          <w:highlight w:val="none"/>
        </w:rPr>
      </w:pPr>
    </w:p>
    <w:p w14:paraId="07C4050F">
      <w:pPr>
        <w:jc w:val="center"/>
        <w:rPr>
          <w:rFonts w:asciiTheme="minorEastAsia" w:hAnsiTheme="minorEastAsia"/>
          <w:sz w:val="72"/>
          <w:szCs w:val="72"/>
          <w:highlight w:val="none"/>
        </w:rPr>
      </w:pPr>
    </w:p>
    <w:p w14:paraId="57CA01EB">
      <w:pPr>
        <w:pStyle w:val="15"/>
        <w:jc w:val="center"/>
        <w:rPr>
          <w:rFonts w:hint="eastAsia" w:ascii="方正小标宋_GBK" w:hAnsi="方正小标宋_GBK" w:eastAsia="方正小标宋_GBK" w:cs="方正小标宋_GBK"/>
          <w:sz w:val="84"/>
          <w:szCs w:val="84"/>
          <w:highlight w:val="none"/>
        </w:rPr>
      </w:pPr>
    </w:p>
    <w:p w14:paraId="6603334D">
      <w:pPr>
        <w:pStyle w:val="15"/>
        <w:jc w:val="center"/>
        <w:rPr>
          <w:rFonts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 xml:space="preserve">第一部分 </w:t>
      </w:r>
    </w:p>
    <w:p w14:paraId="1BD31F37">
      <w:pPr>
        <w:pStyle w:val="15"/>
        <w:jc w:val="center"/>
        <w:rPr>
          <w:rFonts w:ascii="方正小标宋_GBK" w:hAnsi="方正小标宋_GBK" w:eastAsia="方正小标宋_GBK" w:cs="方正小标宋_GBK"/>
          <w:sz w:val="84"/>
          <w:szCs w:val="84"/>
          <w:highlight w:val="none"/>
        </w:rPr>
      </w:pPr>
    </w:p>
    <w:p w14:paraId="35A62954">
      <w:pPr>
        <w:pStyle w:val="15"/>
        <w:jc w:val="center"/>
        <w:rPr>
          <w:rFonts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lang w:val="en-US" w:eastAsia="zh-CN"/>
        </w:rPr>
        <w:t>祁阳市教育局</w:t>
      </w:r>
      <w:r>
        <w:rPr>
          <w:rFonts w:hint="eastAsia" w:ascii="方正小标宋_GBK" w:hAnsi="方正小标宋_GBK" w:eastAsia="方正小标宋_GBK" w:cs="方正小标宋_GBK"/>
          <w:sz w:val="84"/>
          <w:szCs w:val="84"/>
          <w:highlight w:val="none"/>
        </w:rPr>
        <w:t>概况</w:t>
      </w:r>
    </w:p>
    <w:p w14:paraId="6818241A">
      <w:pPr>
        <w:jc w:val="center"/>
        <w:rPr>
          <w:rFonts w:asciiTheme="minorEastAsia" w:hAnsiTheme="minorEastAsia"/>
          <w:sz w:val="72"/>
          <w:szCs w:val="72"/>
          <w:highlight w:val="none"/>
        </w:rPr>
      </w:pPr>
    </w:p>
    <w:p w14:paraId="3AEB2F01">
      <w:pPr>
        <w:pStyle w:val="2"/>
        <w:jc w:val="center"/>
        <w:rPr>
          <w:sz w:val="72"/>
          <w:szCs w:val="72"/>
          <w:highlight w:val="none"/>
        </w:rPr>
      </w:pPr>
    </w:p>
    <w:p w14:paraId="72AC23E1">
      <w:pPr>
        <w:jc w:val="center"/>
        <w:rPr>
          <w:rFonts w:asciiTheme="minorEastAsia" w:hAnsiTheme="minorEastAsia"/>
          <w:sz w:val="72"/>
          <w:szCs w:val="72"/>
          <w:highlight w:val="none"/>
        </w:rPr>
      </w:pPr>
    </w:p>
    <w:p w14:paraId="10B5D11E">
      <w:pPr>
        <w:rPr>
          <w:rFonts w:asciiTheme="minorEastAsia" w:hAnsiTheme="minorEastAsia"/>
          <w:sz w:val="32"/>
          <w:szCs w:val="32"/>
          <w:highlight w:val="none"/>
        </w:rPr>
      </w:pPr>
      <w:r>
        <w:rPr>
          <w:rFonts w:asciiTheme="minorEastAsia" w:hAnsiTheme="minorEastAsia"/>
          <w:sz w:val="32"/>
          <w:szCs w:val="32"/>
          <w:highlight w:val="none"/>
        </w:rPr>
        <w:br w:type="page"/>
      </w:r>
    </w:p>
    <w:p w14:paraId="5C9E619E">
      <w:pPr>
        <w:pStyle w:val="16"/>
        <w:numPr>
          <w:ilvl w:val="0"/>
          <w:numId w:val="0"/>
        </w:numPr>
        <w:ind w:leftChars="0" w:firstLine="640" w:firstLineChars="200"/>
        <w:jc w:val="left"/>
        <w:rPr>
          <w:rFonts w:hint="eastAsia" w:ascii="黑体" w:hAnsi="黑体" w:eastAsia="黑体" w:cs="黑体"/>
          <w:bCs/>
          <w:kern w:val="0"/>
          <w:sz w:val="32"/>
          <w:szCs w:val="32"/>
          <w:highlight w:val="none"/>
          <w:lang w:val="en-US" w:eastAsia="zh-CN" w:bidi="ar-SA"/>
        </w:rPr>
      </w:pPr>
      <w:r>
        <w:rPr>
          <w:rFonts w:hint="eastAsia" w:ascii="黑体" w:hAnsi="黑体" w:eastAsia="黑体" w:cs="黑体"/>
          <w:bCs/>
          <w:kern w:val="0"/>
          <w:sz w:val="32"/>
          <w:szCs w:val="32"/>
          <w:highlight w:val="none"/>
          <w:lang w:val="en-US" w:eastAsia="zh-CN" w:bidi="ar-SA"/>
        </w:rPr>
        <w:t>一、部门职责</w:t>
      </w:r>
    </w:p>
    <w:p w14:paraId="16C48A03">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（一）主要职能职责</w:t>
      </w:r>
    </w:p>
    <w:p w14:paraId="49144CE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“十四五”时期是我市建设湖南现代化教育名市的</w:t>
      </w:r>
      <w:r>
        <w:rPr>
          <w:rFonts w:hint="eastAsia" w:ascii="仿宋_GB2312" w:hAnsi="仿宋_GB2312" w:eastAsia="仿宋_GB2312" w:cs="仿宋_GB2312"/>
          <w:sz w:val="32"/>
          <w:szCs w:val="32"/>
          <w:highlight w:val="none"/>
          <w:lang w:val="en-US" w:eastAsia="zh-CN"/>
        </w:rPr>
        <w:t>关键</w:t>
      </w:r>
      <w:r>
        <w:rPr>
          <w:rFonts w:hint="eastAsia" w:ascii="仿宋_GB2312" w:hAnsi="仿宋_GB2312" w:eastAsia="仿宋_GB2312" w:cs="仿宋_GB2312"/>
          <w:sz w:val="32"/>
          <w:szCs w:val="32"/>
          <w:highlight w:val="none"/>
        </w:rPr>
        <w:t>期，也是推进祁阳教育高质量发展的攻坚期。我们将全面贯彻党和国家的教育方针政策，实施国家有关教育法律、法规和规章，紧紧围绕市委提出的“1353”总体发展思路，坚持党建引领，聚焦立德树人，拟订全市教育事业改革和发展规划，推进市委建设“湖南教育名市”的宏伟目标，促进公平立教、质量兴教、人才强教、依法治教，加快推进教育现代化和城乡教育一体化建设，推动教育事业高质量发展，全面实施素质教育和办人民满意教育。</w:t>
      </w:r>
    </w:p>
    <w:p w14:paraId="57711B90">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CN"/>
        </w:rPr>
        <w:t>2023</w:t>
      </w:r>
      <w:r>
        <w:rPr>
          <w:rFonts w:hint="eastAsia" w:ascii="仿宋_GB2312" w:hAnsi="仿宋_GB2312" w:eastAsia="仿宋_GB2312" w:cs="仿宋_GB2312"/>
          <w:b/>
          <w:bCs/>
          <w:sz w:val="32"/>
          <w:szCs w:val="32"/>
          <w:highlight w:val="none"/>
        </w:rPr>
        <w:t>年主要工作任务</w:t>
      </w:r>
    </w:p>
    <w:p w14:paraId="0B58EC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年，是“十四五”规划</w:t>
      </w:r>
      <w:r>
        <w:rPr>
          <w:rFonts w:hint="eastAsia" w:ascii="仿宋_GB2312" w:hAnsi="仿宋_GB2312" w:eastAsia="仿宋_GB2312" w:cs="仿宋_GB2312"/>
          <w:sz w:val="32"/>
          <w:szCs w:val="32"/>
          <w:highlight w:val="none"/>
          <w:lang w:val="en-US" w:eastAsia="zh-CN"/>
        </w:rPr>
        <w:t>关键</w:t>
      </w:r>
      <w:r>
        <w:rPr>
          <w:rFonts w:hint="eastAsia" w:ascii="仿宋_GB2312" w:hAnsi="仿宋_GB2312" w:eastAsia="仿宋_GB2312" w:cs="仿宋_GB2312"/>
          <w:sz w:val="32"/>
          <w:szCs w:val="32"/>
          <w:highlight w:val="none"/>
        </w:rPr>
        <w:t>之年，是我省大力实施“三高四新”战略、开启建设现代化新湖南的</w:t>
      </w:r>
      <w:r>
        <w:rPr>
          <w:rFonts w:hint="eastAsia" w:ascii="仿宋_GB2312" w:hAnsi="仿宋_GB2312" w:eastAsia="仿宋_GB2312" w:cs="仿宋_GB2312"/>
          <w:sz w:val="32"/>
          <w:szCs w:val="32"/>
          <w:highlight w:val="none"/>
          <w:lang w:val="en-US" w:eastAsia="zh-CN"/>
        </w:rPr>
        <w:t>关键</w:t>
      </w:r>
      <w:r>
        <w:rPr>
          <w:rFonts w:hint="eastAsia" w:ascii="仿宋_GB2312" w:hAnsi="仿宋_GB2312" w:eastAsia="仿宋_GB2312" w:cs="仿宋_GB2312"/>
          <w:sz w:val="32"/>
          <w:szCs w:val="32"/>
          <w:highlight w:val="none"/>
        </w:rPr>
        <w:t>之年。坚持以习近平新时代中国特色社会主义思想为指引，全面贯彻党的二十大精神及教育部《关于实现巩固拓展教育脱贫攻坚成果同乡村振兴有效衔接的意见》，落实市委经济工作会议的决策部署，进一步做好精准控辍和资助工作及贯彻落实乡村振兴战略，统筹推进振兴乡村教育和教育振兴乡村工作。全面完成高考、学考、中考质量目标任务；教育发展环境全面优化，加快推进教育现代化和城乡教育一体化建设，推动教育事业高质量发展。</w:t>
      </w:r>
    </w:p>
    <w:p w14:paraId="7A760B9E">
      <w:pPr>
        <w:widowControl/>
        <w:numPr>
          <w:ilvl w:val="0"/>
          <w:numId w:val="1"/>
        </w:numPr>
        <w:spacing w:line="600" w:lineRule="exact"/>
        <w:ind w:firstLine="640" w:firstLineChars="200"/>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rPr>
        <w:t>机构设置及决算单位构成</w:t>
      </w:r>
    </w:p>
    <w:p w14:paraId="5DFB046D">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（一）内设机构设置</w:t>
      </w:r>
    </w:p>
    <w:p w14:paraId="3F9F2AD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根据上述职责，祁阳市教育局内设</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个股室，分别为：办公室、人事股、教师工作股、</w:t>
      </w:r>
      <w:r>
        <w:rPr>
          <w:rFonts w:hint="eastAsia" w:ascii="仿宋_GB2312" w:hAnsi="仿宋_GB2312" w:eastAsia="仿宋_GB2312" w:cs="仿宋_GB2312"/>
          <w:sz w:val="32"/>
          <w:szCs w:val="32"/>
          <w:highlight w:val="none"/>
          <w:lang w:val="en-US" w:eastAsia="zh-CN"/>
        </w:rPr>
        <w:t>教师发展中心、</w:t>
      </w:r>
      <w:r>
        <w:rPr>
          <w:rFonts w:hint="eastAsia" w:ascii="仿宋_GB2312" w:hAnsi="仿宋_GB2312" w:eastAsia="仿宋_GB2312" w:cs="仿宋_GB2312"/>
          <w:sz w:val="32"/>
          <w:szCs w:val="32"/>
          <w:highlight w:val="none"/>
        </w:rPr>
        <w:t>基础教育股、</w:t>
      </w:r>
      <w:r>
        <w:rPr>
          <w:rFonts w:hint="eastAsia" w:ascii="仿宋_GB2312" w:hAnsi="仿宋_GB2312" w:eastAsia="仿宋_GB2312" w:cs="仿宋_GB2312"/>
          <w:sz w:val="32"/>
          <w:szCs w:val="32"/>
          <w:highlight w:val="none"/>
          <w:lang w:val="en-US" w:eastAsia="zh-CN"/>
        </w:rPr>
        <w:t>学前教育管理中心、</w:t>
      </w:r>
      <w:r>
        <w:rPr>
          <w:rFonts w:hint="eastAsia" w:ascii="仿宋_GB2312" w:hAnsi="仿宋_GB2312" w:eastAsia="仿宋_GB2312" w:cs="仿宋_GB2312"/>
          <w:sz w:val="32"/>
          <w:szCs w:val="32"/>
          <w:highlight w:val="none"/>
        </w:rPr>
        <w:t>体卫艺股、计财股、审计股、纪检监察办、督导办、法制办、信访办、教研室、招考中心、电教仪器站、</w:t>
      </w:r>
      <w:r>
        <w:rPr>
          <w:rFonts w:hint="eastAsia" w:ascii="仿宋_GB2312" w:hAnsi="仿宋_GB2312" w:eastAsia="仿宋_GB2312" w:cs="仿宋_GB2312"/>
          <w:sz w:val="32"/>
          <w:szCs w:val="32"/>
          <w:highlight w:val="none"/>
          <w:lang w:val="en-US" w:eastAsia="zh-CN"/>
        </w:rPr>
        <w:t>教育事务中心</w:t>
      </w:r>
      <w:r>
        <w:rPr>
          <w:rFonts w:hint="eastAsia" w:ascii="仿宋_GB2312" w:hAnsi="仿宋_GB2312" w:eastAsia="仿宋_GB2312" w:cs="仿宋_GB2312"/>
          <w:sz w:val="32"/>
          <w:szCs w:val="32"/>
          <w:highlight w:val="none"/>
        </w:rPr>
        <w:t>、基金办、职成办、工会办、学生资助中心、党建办、团委、妇委会；202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年末在职教职工</w:t>
      </w:r>
      <w:r>
        <w:rPr>
          <w:rFonts w:hint="eastAsia" w:ascii="仿宋_GB2312" w:hAnsi="仿宋_GB2312" w:eastAsia="仿宋_GB2312" w:cs="仿宋_GB2312"/>
          <w:sz w:val="32"/>
          <w:szCs w:val="32"/>
          <w:highlight w:val="none"/>
          <w:lang w:val="en-US" w:eastAsia="zh-CN"/>
        </w:rPr>
        <w:t>8115</w:t>
      </w:r>
      <w:r>
        <w:rPr>
          <w:rFonts w:hint="eastAsia" w:ascii="仿宋_GB2312" w:hAnsi="仿宋_GB2312" w:eastAsia="仿宋_GB2312" w:cs="仿宋_GB2312"/>
          <w:sz w:val="32"/>
          <w:szCs w:val="32"/>
          <w:highlight w:val="none"/>
        </w:rPr>
        <w:t>人；离退休人员</w:t>
      </w:r>
      <w:r>
        <w:rPr>
          <w:rFonts w:hint="eastAsia" w:ascii="仿宋_GB2312" w:hAnsi="仿宋_GB2312" w:eastAsia="仿宋_GB2312" w:cs="仿宋_GB2312"/>
          <w:sz w:val="32"/>
          <w:szCs w:val="32"/>
          <w:highlight w:val="none"/>
          <w:lang w:val="en-US" w:eastAsia="zh-CN"/>
        </w:rPr>
        <w:t>4490</w:t>
      </w:r>
      <w:r>
        <w:rPr>
          <w:rFonts w:hint="eastAsia" w:ascii="仿宋_GB2312" w:hAnsi="仿宋_GB2312" w:eastAsia="仿宋_GB2312" w:cs="仿宋_GB2312"/>
          <w:sz w:val="32"/>
          <w:szCs w:val="32"/>
          <w:highlight w:val="none"/>
        </w:rPr>
        <w:t>人。幼儿园学生</w:t>
      </w:r>
      <w:r>
        <w:rPr>
          <w:rFonts w:hint="eastAsia" w:ascii="仿宋_GB2312" w:hAnsi="仿宋_GB2312" w:eastAsia="仿宋_GB2312" w:cs="仿宋_GB2312"/>
          <w:sz w:val="32"/>
          <w:szCs w:val="32"/>
          <w:highlight w:val="none"/>
          <w:lang w:val="en-US" w:eastAsia="zh-CN"/>
        </w:rPr>
        <w:t>16680</w:t>
      </w:r>
      <w:r>
        <w:rPr>
          <w:rFonts w:hint="eastAsia" w:ascii="仿宋_GB2312" w:hAnsi="仿宋_GB2312" w:eastAsia="仿宋_GB2312" w:cs="仿宋_GB2312"/>
          <w:sz w:val="32"/>
          <w:szCs w:val="32"/>
          <w:highlight w:val="none"/>
        </w:rPr>
        <w:t>人，小学生</w:t>
      </w:r>
      <w:r>
        <w:rPr>
          <w:rFonts w:hint="eastAsia" w:ascii="仿宋_GB2312" w:hAnsi="仿宋_GB2312" w:eastAsia="仿宋_GB2312" w:cs="仿宋_GB2312"/>
          <w:sz w:val="32"/>
          <w:szCs w:val="32"/>
          <w:highlight w:val="none"/>
          <w:lang w:val="en-US" w:eastAsia="zh-CN"/>
        </w:rPr>
        <w:t>56782</w:t>
      </w:r>
      <w:r>
        <w:rPr>
          <w:rFonts w:hint="eastAsia" w:ascii="仿宋_GB2312" w:hAnsi="仿宋_GB2312" w:eastAsia="仿宋_GB2312" w:cs="仿宋_GB2312"/>
          <w:sz w:val="32"/>
          <w:szCs w:val="32"/>
          <w:highlight w:val="none"/>
        </w:rPr>
        <w:t>人（含特殊学校），初中生</w:t>
      </w:r>
      <w:r>
        <w:rPr>
          <w:rFonts w:hint="eastAsia" w:ascii="仿宋_GB2312" w:hAnsi="仿宋_GB2312" w:eastAsia="仿宋_GB2312" w:cs="仿宋_GB2312"/>
          <w:sz w:val="32"/>
          <w:szCs w:val="32"/>
          <w:highlight w:val="none"/>
          <w:lang w:val="en-US" w:eastAsia="zh-CN"/>
        </w:rPr>
        <w:t>34283</w:t>
      </w:r>
      <w:r>
        <w:rPr>
          <w:rFonts w:hint="eastAsia" w:ascii="仿宋_GB2312" w:hAnsi="仿宋_GB2312" w:eastAsia="仿宋_GB2312" w:cs="仿宋_GB2312"/>
          <w:sz w:val="32"/>
          <w:szCs w:val="32"/>
          <w:highlight w:val="none"/>
        </w:rPr>
        <w:t>人（含特殊学校），高中生18</w:t>
      </w:r>
      <w:r>
        <w:rPr>
          <w:rFonts w:hint="eastAsia" w:ascii="仿宋_GB2312" w:hAnsi="仿宋_GB2312" w:eastAsia="仿宋_GB2312" w:cs="仿宋_GB2312"/>
          <w:sz w:val="32"/>
          <w:szCs w:val="32"/>
          <w:highlight w:val="none"/>
          <w:lang w:val="en-US" w:eastAsia="zh-CN"/>
        </w:rPr>
        <w:t>408</w:t>
      </w:r>
      <w:r>
        <w:rPr>
          <w:rFonts w:hint="eastAsia" w:ascii="仿宋_GB2312" w:hAnsi="仿宋_GB2312" w:eastAsia="仿宋_GB2312" w:cs="仿宋_GB2312"/>
          <w:sz w:val="32"/>
          <w:szCs w:val="32"/>
          <w:highlight w:val="none"/>
        </w:rPr>
        <w:t>人，职业学校学生</w:t>
      </w:r>
      <w:r>
        <w:rPr>
          <w:rFonts w:hint="eastAsia" w:ascii="仿宋_GB2312" w:hAnsi="仿宋_GB2312" w:eastAsia="仿宋_GB2312" w:cs="仿宋_GB2312"/>
          <w:sz w:val="32"/>
          <w:szCs w:val="32"/>
          <w:highlight w:val="none"/>
          <w:lang w:val="en-US" w:eastAsia="zh-CN"/>
        </w:rPr>
        <w:t>13259</w:t>
      </w:r>
      <w:r>
        <w:rPr>
          <w:rFonts w:hint="eastAsia" w:ascii="仿宋_GB2312" w:hAnsi="仿宋_GB2312" w:eastAsia="仿宋_GB2312" w:cs="仿宋_GB2312"/>
          <w:sz w:val="32"/>
          <w:szCs w:val="32"/>
          <w:highlight w:val="none"/>
        </w:rPr>
        <w:t>人。</w:t>
      </w:r>
    </w:p>
    <w:p w14:paraId="364E4FF4">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黑体" w:hAnsi="黑体" w:eastAsia="黑体" w:cs="黑体"/>
          <w:bCs/>
          <w:kern w:val="0"/>
          <w:sz w:val="32"/>
          <w:szCs w:val="32"/>
          <w:highlight w:val="none"/>
        </w:rPr>
      </w:pPr>
      <w:r>
        <w:rPr>
          <w:rFonts w:hint="eastAsia" w:ascii="仿宋_GB2312" w:hAnsi="仿宋_GB2312" w:eastAsia="仿宋_GB2312" w:cs="仿宋_GB2312"/>
          <w:b/>
          <w:bCs/>
          <w:sz w:val="32"/>
          <w:szCs w:val="32"/>
          <w:highlight w:val="none"/>
        </w:rPr>
        <w:t>（二）决算单位构成</w:t>
      </w:r>
    </w:p>
    <w:p w14:paraId="19368DB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祁阳市教育局</w:t>
      </w: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部门决算汇总公开单位构成包括：祁阳市教育局单位本级以及下设的22个镇街道教育管理中心、2所初级中学、1所特殊教育学校、1所公办中心幼儿园，共计二级预算单位26个共同构成。下设22个镇街道教育管理中心、2所初级中学、1所特殊教育学校、1所公办中心幼儿园、二级预算单位共计26个，分别为：龙山街道教管中心、长虹街道教管中心、浯溪街道教管中心、观音滩镇教管中心、茅竹镇教管中心、大忠桥镇教管中心、三口塘镇教管中心、肖家镇教管中心、八宝镇教管中心、白水镇教管中心、黄泥塘镇教管中心、进宝塘镇教管中心、潘市镇教管中心、梅溪镇教管中心、羊角塘镇教管中心、下马渡镇教管中心、七里桥镇教管中心、大村甸镇教管中心、黎家坪镇教管中心、文富市镇教管中心、文明铺镇教管中心、龚家坪镇教管中心、祁阳市七中、祁阳文昌中学、祁阳市特殊教育学校、祁阳市中心幼儿园。从决算单位构成看，本部门决算编制范围包括机关本级决算和所属事业单位决算</w:t>
      </w:r>
      <w:r>
        <w:rPr>
          <w:rFonts w:hint="eastAsia" w:ascii="仿宋_GB2312" w:hAnsi="仿宋_GB2312" w:eastAsia="仿宋_GB2312" w:cs="仿宋_GB2312"/>
          <w:sz w:val="32"/>
          <w:szCs w:val="32"/>
          <w:highlight w:val="none"/>
          <w:lang w:eastAsia="zh-CN"/>
        </w:rPr>
        <w:t>。</w:t>
      </w:r>
    </w:p>
    <w:p w14:paraId="1A986262">
      <w:pPr>
        <w:jc w:val="center"/>
        <w:rPr>
          <w:rFonts w:asciiTheme="minorEastAsia" w:hAnsiTheme="minorEastAsia"/>
          <w:sz w:val="28"/>
          <w:szCs w:val="28"/>
          <w:highlight w:val="none"/>
        </w:rPr>
      </w:pPr>
    </w:p>
    <w:p w14:paraId="60100B13">
      <w:pPr>
        <w:jc w:val="center"/>
        <w:rPr>
          <w:rFonts w:asciiTheme="minorEastAsia" w:hAnsiTheme="minorEastAsia"/>
          <w:sz w:val="28"/>
          <w:szCs w:val="28"/>
          <w:highlight w:val="none"/>
        </w:rPr>
      </w:pPr>
    </w:p>
    <w:p w14:paraId="60019971">
      <w:pPr>
        <w:jc w:val="center"/>
        <w:rPr>
          <w:rFonts w:asciiTheme="minorEastAsia" w:hAnsiTheme="minorEastAsia"/>
          <w:sz w:val="28"/>
          <w:szCs w:val="28"/>
          <w:highlight w:val="none"/>
        </w:rPr>
      </w:pPr>
    </w:p>
    <w:p w14:paraId="2907A843">
      <w:pPr>
        <w:jc w:val="center"/>
        <w:rPr>
          <w:rFonts w:asciiTheme="minorEastAsia" w:hAnsiTheme="minorEastAsia"/>
          <w:sz w:val="28"/>
          <w:szCs w:val="28"/>
          <w:highlight w:val="none"/>
        </w:rPr>
      </w:pPr>
    </w:p>
    <w:p w14:paraId="66683739">
      <w:pPr>
        <w:jc w:val="center"/>
        <w:rPr>
          <w:rFonts w:asciiTheme="minorEastAsia" w:hAnsiTheme="minorEastAsia"/>
          <w:sz w:val="28"/>
          <w:szCs w:val="28"/>
          <w:highlight w:val="none"/>
        </w:rPr>
      </w:pPr>
    </w:p>
    <w:p w14:paraId="7BF2F0BA">
      <w:pPr>
        <w:jc w:val="center"/>
        <w:rPr>
          <w:rFonts w:asciiTheme="minorEastAsia" w:hAnsiTheme="minorEastAsia"/>
          <w:sz w:val="28"/>
          <w:szCs w:val="28"/>
          <w:highlight w:val="none"/>
        </w:rPr>
      </w:pPr>
    </w:p>
    <w:p w14:paraId="00608AA4">
      <w:pPr>
        <w:jc w:val="center"/>
        <w:rPr>
          <w:rFonts w:asciiTheme="minorEastAsia" w:hAnsiTheme="minorEastAsia"/>
          <w:sz w:val="28"/>
          <w:szCs w:val="28"/>
          <w:highlight w:val="none"/>
        </w:rPr>
      </w:pPr>
    </w:p>
    <w:p w14:paraId="2946E889">
      <w:pPr>
        <w:jc w:val="center"/>
        <w:rPr>
          <w:rFonts w:asciiTheme="minorEastAsia" w:hAnsiTheme="minorEastAsia"/>
          <w:sz w:val="28"/>
          <w:szCs w:val="28"/>
          <w:highlight w:val="none"/>
        </w:rPr>
      </w:pPr>
    </w:p>
    <w:p w14:paraId="4F0DFF7B">
      <w:pPr>
        <w:jc w:val="center"/>
        <w:rPr>
          <w:rFonts w:asciiTheme="minorEastAsia" w:hAnsiTheme="minorEastAsia"/>
          <w:sz w:val="28"/>
          <w:szCs w:val="28"/>
          <w:highlight w:val="none"/>
        </w:rPr>
      </w:pPr>
    </w:p>
    <w:p w14:paraId="0927BCCD">
      <w:pPr>
        <w:jc w:val="both"/>
        <w:rPr>
          <w:rFonts w:asciiTheme="minorEastAsia" w:hAnsiTheme="minorEastAsia"/>
          <w:sz w:val="72"/>
          <w:szCs w:val="72"/>
          <w:highlight w:val="none"/>
        </w:rPr>
      </w:pPr>
    </w:p>
    <w:p w14:paraId="03D1A40E">
      <w:pPr>
        <w:jc w:val="center"/>
        <w:rPr>
          <w:rFonts w:asciiTheme="minorEastAsia" w:hAnsiTheme="minorEastAsia"/>
          <w:sz w:val="72"/>
          <w:szCs w:val="72"/>
          <w:highlight w:val="none"/>
        </w:rPr>
      </w:pPr>
    </w:p>
    <w:p w14:paraId="56F3A7CF">
      <w:pPr>
        <w:jc w:val="center"/>
        <w:rPr>
          <w:rFonts w:asciiTheme="minorEastAsia" w:hAnsiTheme="minorEastAsia"/>
          <w:sz w:val="72"/>
          <w:szCs w:val="72"/>
          <w:highlight w:val="none"/>
        </w:rPr>
      </w:pPr>
    </w:p>
    <w:p w14:paraId="62EC245D">
      <w:pPr>
        <w:jc w:val="center"/>
        <w:rPr>
          <w:rFonts w:asciiTheme="minorEastAsia" w:hAnsiTheme="minorEastAsia"/>
          <w:sz w:val="72"/>
          <w:szCs w:val="72"/>
          <w:highlight w:val="none"/>
        </w:rPr>
      </w:pPr>
    </w:p>
    <w:p w14:paraId="29E86F12">
      <w:pPr>
        <w:pStyle w:val="15"/>
        <w:jc w:val="center"/>
        <w:rPr>
          <w:rFonts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第二部分</w:t>
      </w:r>
    </w:p>
    <w:p w14:paraId="5E8F7EF8">
      <w:pPr>
        <w:pStyle w:val="15"/>
        <w:jc w:val="center"/>
        <w:rPr>
          <w:rFonts w:ascii="方正小标宋_GBK" w:hAnsi="方正小标宋_GBK" w:eastAsia="方正小标宋_GBK" w:cs="方正小标宋_GBK"/>
          <w:sz w:val="72"/>
          <w:szCs w:val="72"/>
          <w:highlight w:val="none"/>
        </w:rPr>
      </w:pPr>
    </w:p>
    <w:p w14:paraId="66F82067">
      <w:pPr>
        <w:jc w:val="center"/>
        <w:rPr>
          <w:rFonts w:asciiTheme="minorEastAsia" w:hAnsiTheme="minorEastAsia"/>
          <w:sz w:val="72"/>
          <w:szCs w:val="72"/>
          <w:highlight w:val="none"/>
        </w:rPr>
      </w:pPr>
      <w:r>
        <w:rPr>
          <w:rFonts w:hint="eastAsia" w:ascii="方正小标宋_GBK" w:hAnsi="方正小标宋_GBK" w:eastAsia="方正小标宋_GBK" w:cs="方正小标宋_GBK"/>
          <w:sz w:val="84"/>
          <w:szCs w:val="84"/>
          <w:highlight w:val="none"/>
          <w:lang w:val="en-US" w:eastAsia="zh-CN"/>
        </w:rPr>
        <w:t>2023年度</w:t>
      </w:r>
      <w:r>
        <w:rPr>
          <w:rFonts w:hint="eastAsia" w:ascii="方正小标宋_GBK" w:hAnsi="方正小标宋_GBK" w:eastAsia="方正小标宋_GBK" w:cs="方正小标宋_GBK"/>
          <w:sz w:val="84"/>
          <w:szCs w:val="84"/>
          <w:highlight w:val="none"/>
        </w:rPr>
        <w:t>部门决算表</w:t>
      </w:r>
    </w:p>
    <w:p w14:paraId="7359D30F">
      <w:pPr>
        <w:jc w:val="center"/>
        <w:rPr>
          <w:rFonts w:asciiTheme="minorEastAsia" w:hAnsiTheme="minorEastAsia"/>
          <w:sz w:val="72"/>
          <w:szCs w:val="72"/>
          <w:highlight w:val="none"/>
        </w:rPr>
      </w:pPr>
    </w:p>
    <w:p w14:paraId="600509CC">
      <w:pPr>
        <w:jc w:val="center"/>
        <w:rPr>
          <w:rFonts w:asciiTheme="minorEastAsia" w:hAnsiTheme="minorEastAsia"/>
          <w:sz w:val="72"/>
          <w:szCs w:val="72"/>
          <w:highlight w:val="none"/>
        </w:rPr>
      </w:pPr>
    </w:p>
    <w:p w14:paraId="41C37AEA">
      <w:pPr>
        <w:jc w:val="center"/>
        <w:rPr>
          <w:rFonts w:asciiTheme="minorEastAsia" w:hAnsiTheme="minorEastAsia"/>
          <w:sz w:val="72"/>
          <w:szCs w:val="72"/>
          <w:highlight w:val="none"/>
        </w:rPr>
      </w:pPr>
    </w:p>
    <w:p w14:paraId="649FDC21">
      <w:pPr>
        <w:jc w:val="center"/>
        <w:rPr>
          <w:rFonts w:asciiTheme="minorEastAsia" w:hAnsiTheme="minorEastAsia"/>
          <w:sz w:val="72"/>
          <w:szCs w:val="72"/>
          <w:highlight w:val="none"/>
        </w:rPr>
      </w:pPr>
    </w:p>
    <w:p w14:paraId="7D71717A">
      <w:pPr>
        <w:jc w:val="left"/>
        <w:rPr>
          <w:rFonts w:asciiTheme="minorEastAsia" w:hAnsiTheme="minorEastAsia"/>
          <w:sz w:val="32"/>
          <w:szCs w:val="32"/>
          <w:highlight w:val="none"/>
        </w:rPr>
      </w:pPr>
    </w:p>
    <w:p w14:paraId="6276CC76">
      <w:pPr>
        <w:jc w:val="left"/>
        <w:rPr>
          <w:rFonts w:asciiTheme="minorEastAsia" w:hAnsiTheme="minorEastAsia"/>
          <w:sz w:val="32"/>
          <w:szCs w:val="32"/>
          <w:highlight w:val="none"/>
        </w:rPr>
        <w:sectPr>
          <w:pgSz w:w="11906" w:h="16838"/>
          <w:pgMar w:top="720" w:right="720" w:bottom="720" w:left="720" w:header="851" w:footer="992" w:gutter="0"/>
          <w:cols w:space="425" w:num="1"/>
          <w:docGrid w:type="lines" w:linePitch="312" w:charSpace="0"/>
        </w:sectPr>
      </w:pPr>
    </w:p>
    <w:p w14:paraId="3CA61D2D">
      <w:pPr>
        <w:rPr>
          <w:rFonts w:hint="eastAsia" w:asciiTheme="minorEastAsia" w:hAnsiTheme="minorEastAsia" w:eastAsiaTheme="minorEastAsia"/>
          <w:color w:val="000000"/>
          <w:sz w:val="32"/>
          <w:szCs w:val="32"/>
          <w:highlight w:val="none"/>
          <w:lang w:eastAsia="zh-CN"/>
        </w:rPr>
      </w:pPr>
      <w:r>
        <w:rPr>
          <w:rFonts w:hint="eastAsia" w:asciiTheme="minorEastAsia" w:hAnsiTheme="minorEastAsia" w:eastAsiaTheme="minorEastAsia"/>
          <w:color w:val="000000"/>
          <w:sz w:val="32"/>
          <w:szCs w:val="32"/>
          <w:highlight w:val="none"/>
          <w:lang w:eastAsia="zh-CN"/>
        </w:rPr>
        <w:drawing>
          <wp:inline distT="0" distB="0" distL="114300" distR="114300">
            <wp:extent cx="8870315" cy="6644005"/>
            <wp:effectExtent l="0" t="0" r="6985" b="4445"/>
            <wp:docPr id="14" name="图片 14" descr="172627657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26276570748"/>
                    <pic:cNvPicPr>
                      <a:picLocks noChangeAspect="1"/>
                    </pic:cNvPicPr>
                  </pic:nvPicPr>
                  <pic:blipFill>
                    <a:blip r:embed="rId6"/>
                    <a:stretch>
                      <a:fillRect/>
                    </a:stretch>
                  </pic:blipFill>
                  <pic:spPr>
                    <a:xfrm>
                      <a:off x="0" y="0"/>
                      <a:ext cx="8870315" cy="6644005"/>
                    </a:xfrm>
                    <a:prstGeom prst="rect">
                      <a:avLst/>
                    </a:prstGeom>
                  </pic:spPr>
                </pic:pic>
              </a:graphicData>
            </a:graphic>
          </wp:inline>
        </w:drawing>
      </w:r>
    </w:p>
    <w:p w14:paraId="1797A03C">
      <w:pPr>
        <w:widowControl/>
        <w:jc w:val="center"/>
        <w:rPr>
          <w:rFonts w:hint="eastAsia" w:cs="宋体" w:asciiTheme="minorEastAsia" w:hAnsiTheme="minorEastAsia" w:eastAsiaTheme="minorEastAsia"/>
          <w:color w:val="000000"/>
          <w:kern w:val="0"/>
          <w:sz w:val="32"/>
          <w:szCs w:val="32"/>
          <w:highlight w:val="none"/>
          <w:lang w:eastAsia="zh-CN"/>
        </w:rPr>
      </w:pPr>
      <w:bookmarkStart w:id="0" w:name="RANGE!A1:I22"/>
      <w:bookmarkEnd w:id="0"/>
      <w:bookmarkStart w:id="1" w:name="RANGE!A1:F16"/>
      <w:r>
        <w:rPr>
          <w:rFonts w:hint="eastAsia" w:cs="宋体" w:asciiTheme="minorEastAsia" w:hAnsiTheme="minorEastAsia"/>
          <w:color w:val="000000"/>
          <w:kern w:val="0"/>
          <w:sz w:val="32"/>
          <w:szCs w:val="32"/>
          <w:highlight w:val="none"/>
        </w:rPr>
        <w:drawing>
          <wp:inline distT="0" distB="0" distL="114300" distR="114300">
            <wp:extent cx="8793480" cy="6640195"/>
            <wp:effectExtent l="0" t="0" r="7620" b="8255"/>
            <wp:docPr id="6" name="图片 6" descr="172627549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6275491566"/>
                    <pic:cNvPicPr>
                      <a:picLocks noChangeAspect="1"/>
                    </pic:cNvPicPr>
                  </pic:nvPicPr>
                  <pic:blipFill>
                    <a:blip r:embed="rId7"/>
                    <a:stretch>
                      <a:fillRect/>
                    </a:stretch>
                  </pic:blipFill>
                  <pic:spPr>
                    <a:xfrm>
                      <a:off x="0" y="0"/>
                      <a:ext cx="8793480" cy="6640195"/>
                    </a:xfrm>
                    <a:prstGeom prst="rect">
                      <a:avLst/>
                    </a:prstGeom>
                  </pic:spPr>
                </pic:pic>
              </a:graphicData>
            </a:graphic>
          </wp:inline>
        </w:drawing>
      </w:r>
      <w:r>
        <w:rPr>
          <w:rFonts w:hint="eastAsia" w:cs="宋体" w:asciiTheme="minorEastAsia" w:hAnsiTheme="minorEastAsia" w:eastAsiaTheme="minorEastAsia"/>
          <w:color w:val="000000"/>
          <w:kern w:val="0"/>
          <w:sz w:val="32"/>
          <w:szCs w:val="32"/>
          <w:highlight w:val="none"/>
          <w:lang w:eastAsia="zh-CN"/>
        </w:rPr>
        <w:drawing>
          <wp:inline distT="0" distB="0" distL="114300" distR="114300">
            <wp:extent cx="8870315" cy="6640830"/>
            <wp:effectExtent l="0" t="0" r="6985" b="7620"/>
            <wp:docPr id="7" name="图片 7" descr="17262759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6275900004"/>
                    <pic:cNvPicPr>
                      <a:picLocks noChangeAspect="1"/>
                    </pic:cNvPicPr>
                  </pic:nvPicPr>
                  <pic:blipFill>
                    <a:blip r:embed="rId8"/>
                    <a:stretch>
                      <a:fillRect/>
                    </a:stretch>
                  </pic:blipFill>
                  <pic:spPr>
                    <a:xfrm>
                      <a:off x="0" y="0"/>
                      <a:ext cx="8870315" cy="6640830"/>
                    </a:xfrm>
                    <a:prstGeom prst="rect">
                      <a:avLst/>
                    </a:prstGeom>
                  </pic:spPr>
                </pic:pic>
              </a:graphicData>
            </a:graphic>
          </wp:inline>
        </w:drawing>
      </w:r>
      <w:r>
        <w:rPr>
          <w:rFonts w:hint="eastAsia" w:cs="宋体" w:asciiTheme="minorEastAsia" w:hAnsiTheme="minorEastAsia" w:eastAsiaTheme="minorEastAsia"/>
          <w:color w:val="000000"/>
          <w:kern w:val="0"/>
          <w:sz w:val="32"/>
          <w:szCs w:val="32"/>
          <w:highlight w:val="none"/>
          <w:lang w:eastAsia="zh-CN"/>
        </w:rPr>
        <w:drawing>
          <wp:inline distT="0" distB="0" distL="114300" distR="114300">
            <wp:extent cx="9392920" cy="6640830"/>
            <wp:effectExtent l="0" t="0" r="17780" b="7620"/>
            <wp:docPr id="8" name="图片 8" descr="172627602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6276028183"/>
                    <pic:cNvPicPr>
                      <a:picLocks noChangeAspect="1"/>
                    </pic:cNvPicPr>
                  </pic:nvPicPr>
                  <pic:blipFill>
                    <a:blip r:embed="rId9"/>
                    <a:stretch>
                      <a:fillRect/>
                    </a:stretch>
                  </pic:blipFill>
                  <pic:spPr>
                    <a:xfrm>
                      <a:off x="0" y="0"/>
                      <a:ext cx="9392920" cy="6640830"/>
                    </a:xfrm>
                    <a:prstGeom prst="rect">
                      <a:avLst/>
                    </a:prstGeom>
                  </pic:spPr>
                </pic:pic>
              </a:graphicData>
            </a:graphic>
          </wp:inline>
        </w:drawing>
      </w:r>
      <w:r>
        <w:rPr>
          <w:rFonts w:hint="eastAsia" w:cs="宋体" w:asciiTheme="minorEastAsia" w:hAnsiTheme="minorEastAsia" w:eastAsiaTheme="minorEastAsia"/>
          <w:color w:val="000000"/>
          <w:kern w:val="0"/>
          <w:sz w:val="32"/>
          <w:szCs w:val="32"/>
          <w:highlight w:val="none"/>
          <w:lang w:eastAsia="zh-CN"/>
        </w:rPr>
        <w:drawing>
          <wp:inline distT="0" distB="0" distL="114300" distR="114300">
            <wp:extent cx="8997315" cy="6640195"/>
            <wp:effectExtent l="0" t="0" r="13335" b="8255"/>
            <wp:docPr id="9" name="图片 9" descr="172627615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26276157495"/>
                    <pic:cNvPicPr>
                      <a:picLocks noChangeAspect="1"/>
                    </pic:cNvPicPr>
                  </pic:nvPicPr>
                  <pic:blipFill>
                    <a:blip r:embed="rId10"/>
                    <a:stretch>
                      <a:fillRect/>
                    </a:stretch>
                  </pic:blipFill>
                  <pic:spPr>
                    <a:xfrm>
                      <a:off x="0" y="0"/>
                      <a:ext cx="8997315" cy="6640195"/>
                    </a:xfrm>
                    <a:prstGeom prst="rect">
                      <a:avLst/>
                    </a:prstGeom>
                  </pic:spPr>
                </pic:pic>
              </a:graphicData>
            </a:graphic>
          </wp:inline>
        </w:drawing>
      </w:r>
      <w:r>
        <w:rPr>
          <w:rFonts w:hint="eastAsia" w:cs="宋体" w:asciiTheme="minorEastAsia" w:hAnsiTheme="minorEastAsia" w:eastAsiaTheme="minorEastAsia"/>
          <w:color w:val="000000"/>
          <w:kern w:val="0"/>
          <w:sz w:val="32"/>
          <w:szCs w:val="32"/>
          <w:highlight w:val="none"/>
          <w:lang w:eastAsia="zh-CN"/>
        </w:rPr>
        <w:drawing>
          <wp:inline distT="0" distB="0" distL="114300" distR="114300">
            <wp:extent cx="9251950" cy="6640830"/>
            <wp:effectExtent l="0" t="0" r="6350" b="7620"/>
            <wp:docPr id="10" name="图片 10" descr="172627625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6276255585"/>
                    <pic:cNvPicPr>
                      <a:picLocks noChangeAspect="1"/>
                    </pic:cNvPicPr>
                  </pic:nvPicPr>
                  <pic:blipFill>
                    <a:blip r:embed="rId11"/>
                    <a:stretch>
                      <a:fillRect/>
                    </a:stretch>
                  </pic:blipFill>
                  <pic:spPr>
                    <a:xfrm>
                      <a:off x="0" y="0"/>
                      <a:ext cx="9251950" cy="6640830"/>
                    </a:xfrm>
                    <a:prstGeom prst="rect">
                      <a:avLst/>
                    </a:prstGeom>
                  </pic:spPr>
                </pic:pic>
              </a:graphicData>
            </a:graphic>
          </wp:inline>
        </w:drawing>
      </w:r>
      <w:r>
        <w:rPr>
          <w:rFonts w:hint="eastAsia" w:cs="宋体" w:asciiTheme="minorEastAsia" w:hAnsiTheme="minorEastAsia" w:eastAsiaTheme="minorEastAsia"/>
          <w:color w:val="000000"/>
          <w:kern w:val="0"/>
          <w:sz w:val="32"/>
          <w:szCs w:val="32"/>
          <w:highlight w:val="none"/>
          <w:lang w:eastAsia="zh-CN"/>
        </w:rPr>
        <w:drawing>
          <wp:inline distT="0" distB="0" distL="114300" distR="114300">
            <wp:extent cx="9767570" cy="4264025"/>
            <wp:effectExtent l="0" t="0" r="5080" b="3175"/>
            <wp:docPr id="11" name="图片 11" descr="172627632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26276321337"/>
                    <pic:cNvPicPr>
                      <a:picLocks noChangeAspect="1"/>
                    </pic:cNvPicPr>
                  </pic:nvPicPr>
                  <pic:blipFill>
                    <a:blip r:embed="rId12"/>
                    <a:stretch>
                      <a:fillRect/>
                    </a:stretch>
                  </pic:blipFill>
                  <pic:spPr>
                    <a:xfrm>
                      <a:off x="0" y="0"/>
                      <a:ext cx="9767570" cy="4264025"/>
                    </a:xfrm>
                    <a:prstGeom prst="rect">
                      <a:avLst/>
                    </a:prstGeom>
                  </pic:spPr>
                </pic:pic>
              </a:graphicData>
            </a:graphic>
          </wp:inline>
        </w:drawing>
      </w:r>
      <w:r>
        <w:rPr>
          <w:rFonts w:hint="eastAsia" w:cs="宋体" w:asciiTheme="minorEastAsia" w:hAnsiTheme="minorEastAsia" w:eastAsiaTheme="minorEastAsia"/>
          <w:color w:val="000000"/>
          <w:kern w:val="0"/>
          <w:sz w:val="32"/>
          <w:szCs w:val="32"/>
          <w:highlight w:val="none"/>
          <w:lang w:eastAsia="zh-CN"/>
        </w:rPr>
        <w:drawing>
          <wp:inline distT="0" distB="0" distL="114300" distR="114300">
            <wp:extent cx="9770110" cy="4714875"/>
            <wp:effectExtent l="0" t="0" r="2540" b="9525"/>
            <wp:docPr id="12" name="图片 12" descr="172627640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26276408620"/>
                    <pic:cNvPicPr>
                      <a:picLocks noChangeAspect="1"/>
                    </pic:cNvPicPr>
                  </pic:nvPicPr>
                  <pic:blipFill>
                    <a:blip r:embed="rId13"/>
                    <a:stretch>
                      <a:fillRect/>
                    </a:stretch>
                  </pic:blipFill>
                  <pic:spPr>
                    <a:xfrm>
                      <a:off x="0" y="0"/>
                      <a:ext cx="9770110" cy="4714875"/>
                    </a:xfrm>
                    <a:prstGeom prst="rect">
                      <a:avLst/>
                    </a:prstGeom>
                  </pic:spPr>
                </pic:pic>
              </a:graphicData>
            </a:graphic>
          </wp:inline>
        </w:drawing>
      </w:r>
    </w:p>
    <w:p w14:paraId="53BF12CB">
      <w:pPr>
        <w:widowControl/>
        <w:jc w:val="center"/>
        <w:rPr>
          <w:rFonts w:hint="eastAsia" w:cs="宋体" w:asciiTheme="minorEastAsia" w:hAnsiTheme="minorEastAsia"/>
          <w:color w:val="000000"/>
          <w:kern w:val="0"/>
          <w:sz w:val="32"/>
          <w:szCs w:val="32"/>
          <w:highlight w:val="none"/>
        </w:rPr>
      </w:pPr>
      <w:r>
        <w:rPr>
          <w:rFonts w:hint="eastAsia" w:cs="宋体" w:asciiTheme="minorEastAsia" w:hAnsiTheme="minorEastAsia"/>
          <w:color w:val="000000"/>
          <w:kern w:val="0"/>
          <w:sz w:val="32"/>
          <w:szCs w:val="32"/>
          <w:highlight w:val="none"/>
        </w:rPr>
        <w:br w:type="page"/>
      </w:r>
    </w:p>
    <w:bookmarkEnd w:id="1"/>
    <w:p w14:paraId="049BF146">
      <w:pPr>
        <w:pStyle w:val="15"/>
        <w:rPr>
          <w:rFonts w:hint="eastAsia" w:eastAsia="黑体" w:cs="宋体" w:asciiTheme="minorEastAsia" w:hAnsiTheme="minorEastAsia"/>
          <w:kern w:val="0"/>
          <w:sz w:val="24"/>
          <w:szCs w:val="24"/>
          <w:highlight w:val="none"/>
          <w:lang w:eastAsia="zh-CN"/>
        </w:rPr>
        <w:sectPr>
          <w:pgSz w:w="16838" w:h="11906" w:orient="landscape"/>
          <w:pgMar w:top="720" w:right="720" w:bottom="720" w:left="720" w:header="851" w:footer="992" w:gutter="0"/>
          <w:cols w:space="425" w:num="1"/>
          <w:docGrid w:type="lines" w:linePitch="312" w:charSpace="0"/>
        </w:sectPr>
      </w:pPr>
      <w:r>
        <w:rPr>
          <w:rFonts w:hint="eastAsia" w:eastAsia="黑体" w:cs="宋体" w:asciiTheme="minorEastAsia" w:hAnsiTheme="minorEastAsia"/>
          <w:kern w:val="0"/>
          <w:sz w:val="24"/>
          <w:szCs w:val="24"/>
          <w:highlight w:val="none"/>
          <w:lang w:eastAsia="zh-CN"/>
        </w:rPr>
        <w:drawing>
          <wp:inline distT="0" distB="0" distL="114300" distR="114300">
            <wp:extent cx="9773920" cy="4756785"/>
            <wp:effectExtent l="0" t="0" r="17780" b="5715"/>
            <wp:docPr id="16" name="图片 16" descr="172627664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26276646387"/>
                    <pic:cNvPicPr>
                      <a:picLocks noChangeAspect="1"/>
                    </pic:cNvPicPr>
                  </pic:nvPicPr>
                  <pic:blipFill>
                    <a:blip r:embed="rId14"/>
                    <a:stretch>
                      <a:fillRect/>
                    </a:stretch>
                  </pic:blipFill>
                  <pic:spPr>
                    <a:xfrm>
                      <a:off x="0" y="0"/>
                      <a:ext cx="9773920" cy="4756785"/>
                    </a:xfrm>
                    <a:prstGeom prst="rect">
                      <a:avLst/>
                    </a:prstGeom>
                  </pic:spPr>
                </pic:pic>
              </a:graphicData>
            </a:graphic>
          </wp:inline>
        </w:drawing>
      </w:r>
    </w:p>
    <w:p w14:paraId="62B91B9C">
      <w:pPr>
        <w:pStyle w:val="15"/>
        <w:jc w:val="center"/>
        <w:rPr>
          <w:rFonts w:asciiTheme="minorEastAsia" w:hAnsiTheme="minorEastAsia" w:eastAsiaTheme="minorEastAsia"/>
          <w:sz w:val="72"/>
          <w:szCs w:val="72"/>
          <w:highlight w:val="none"/>
        </w:rPr>
      </w:pPr>
    </w:p>
    <w:p w14:paraId="1BF98E93">
      <w:pPr>
        <w:pStyle w:val="15"/>
        <w:jc w:val="center"/>
        <w:rPr>
          <w:rFonts w:asciiTheme="minorEastAsia" w:hAnsiTheme="minorEastAsia" w:eastAsiaTheme="minorEastAsia"/>
          <w:sz w:val="72"/>
          <w:szCs w:val="72"/>
          <w:highlight w:val="none"/>
        </w:rPr>
      </w:pPr>
    </w:p>
    <w:p w14:paraId="49A7D66B">
      <w:pPr>
        <w:pStyle w:val="15"/>
        <w:jc w:val="center"/>
        <w:rPr>
          <w:rFonts w:asciiTheme="minorEastAsia" w:hAnsiTheme="minorEastAsia" w:eastAsiaTheme="minorEastAsia"/>
          <w:sz w:val="72"/>
          <w:szCs w:val="72"/>
          <w:highlight w:val="none"/>
        </w:rPr>
      </w:pPr>
    </w:p>
    <w:p w14:paraId="093284A4">
      <w:pPr>
        <w:pStyle w:val="15"/>
        <w:jc w:val="center"/>
        <w:rPr>
          <w:rFonts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第三部分</w:t>
      </w:r>
    </w:p>
    <w:p w14:paraId="58C2D72D">
      <w:pPr>
        <w:pStyle w:val="15"/>
        <w:jc w:val="center"/>
        <w:rPr>
          <w:rFonts w:ascii="方正小标宋_GBK" w:hAnsi="方正小标宋_GBK" w:eastAsia="方正小标宋_GBK" w:cs="方正小标宋_GBK"/>
          <w:sz w:val="72"/>
          <w:szCs w:val="72"/>
          <w:highlight w:val="none"/>
        </w:rPr>
      </w:pPr>
    </w:p>
    <w:p w14:paraId="11DB480C">
      <w:pPr>
        <w:widowControl/>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lang w:eastAsia="zh-CN"/>
        </w:rPr>
        <w:t>2023</w:t>
      </w:r>
      <w:r>
        <w:rPr>
          <w:rFonts w:hint="eastAsia" w:ascii="方正小标宋_GBK" w:hAnsi="方正小标宋_GBK" w:eastAsia="方正小标宋_GBK" w:cs="方正小标宋_GBK"/>
          <w:sz w:val="72"/>
          <w:szCs w:val="72"/>
          <w:highlight w:val="none"/>
        </w:rPr>
        <w:t>年度部门决算情况说明</w:t>
      </w:r>
    </w:p>
    <w:p w14:paraId="053F3F92">
      <w:pPr>
        <w:pStyle w:val="2"/>
        <w:jc w:val="center"/>
        <w:rPr>
          <w:rFonts w:hint="eastAsia" w:ascii="方正小标宋_GBK" w:hAnsi="方正小标宋_GBK" w:eastAsia="方正小标宋_GBK" w:cs="方正小标宋_GBK"/>
          <w:sz w:val="72"/>
          <w:szCs w:val="72"/>
          <w:highlight w:val="none"/>
        </w:rPr>
      </w:pPr>
    </w:p>
    <w:p w14:paraId="7B2FF968">
      <w:pPr>
        <w:pStyle w:val="5"/>
        <w:ind w:left="0" w:leftChars="0" w:firstLine="0" w:firstLineChars="0"/>
        <w:jc w:val="center"/>
        <w:rPr>
          <w:rFonts w:hint="eastAsia"/>
          <w:sz w:val="72"/>
          <w:szCs w:val="72"/>
          <w:highlight w:val="none"/>
        </w:rPr>
      </w:pPr>
    </w:p>
    <w:p w14:paraId="10F71984">
      <w:pPr>
        <w:jc w:val="center"/>
        <w:rPr>
          <w:rFonts w:hint="eastAsia"/>
          <w:sz w:val="72"/>
          <w:szCs w:val="72"/>
          <w:highlight w:val="none"/>
        </w:rPr>
      </w:pPr>
    </w:p>
    <w:p w14:paraId="0432D7D4">
      <w:pPr>
        <w:rPr>
          <w:rFonts w:hint="eastAsia" w:asciiTheme="minorEastAsia" w:hAnsiTheme="minorEastAsia" w:eastAsiaTheme="minorEastAsia" w:cstheme="minorEastAsia"/>
          <w:bCs/>
          <w:sz w:val="32"/>
          <w:szCs w:val="32"/>
          <w:highlight w:val="none"/>
        </w:rPr>
      </w:pPr>
      <w:r>
        <w:rPr>
          <w:rFonts w:hint="eastAsia" w:hAnsi="黑体"/>
          <w:bCs/>
          <w:sz w:val="32"/>
          <w:szCs w:val="32"/>
          <w:highlight w:val="none"/>
        </w:rPr>
        <w:br w:type="page"/>
      </w:r>
    </w:p>
    <w:p w14:paraId="1EA5CBF3">
      <w:pPr>
        <w:widowControl/>
        <w:ind w:firstLine="643" w:firstLineChars="200"/>
        <w:jc w:val="left"/>
        <w:rPr>
          <w:rFonts w:hint="eastAsia" w:hAnsi="黑体"/>
          <w:b/>
          <w:bCs w:val="0"/>
          <w:sz w:val="32"/>
          <w:szCs w:val="32"/>
          <w:highlight w:val="none"/>
        </w:rPr>
      </w:pPr>
    </w:p>
    <w:p w14:paraId="215D2B7C">
      <w:pPr>
        <w:widowControl/>
        <w:ind w:firstLine="643" w:firstLineChars="200"/>
        <w:jc w:val="left"/>
        <w:rPr>
          <w:rFonts w:hAnsi="黑体"/>
          <w:b/>
          <w:bCs w:val="0"/>
          <w:sz w:val="32"/>
          <w:szCs w:val="32"/>
          <w:highlight w:val="none"/>
        </w:rPr>
      </w:pPr>
      <w:r>
        <w:rPr>
          <w:rFonts w:hint="eastAsia" w:hAnsi="黑体"/>
          <w:b/>
          <w:bCs w:val="0"/>
          <w:sz w:val="32"/>
          <w:szCs w:val="32"/>
          <w:highlight w:val="none"/>
        </w:rPr>
        <w:t>一、收入支出决算总体情况说明</w:t>
      </w:r>
    </w:p>
    <w:p w14:paraId="05A4D472">
      <w:pPr>
        <w:pStyle w:val="15"/>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年度收、支总计110345.32万元。与上年相比，增加</w:t>
      </w:r>
      <w:r>
        <w:rPr>
          <w:rFonts w:hint="eastAsia" w:ascii="Times New Roman" w:hAnsi="Times New Roman" w:eastAsia="仿宋_GB2312"/>
          <w:sz w:val="32"/>
          <w:szCs w:val="32"/>
          <w:highlight w:val="none"/>
          <w:lang w:val="en-US" w:eastAsia="zh-CN"/>
        </w:rPr>
        <w:t>8086.87</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7.91</w:t>
      </w:r>
      <w:bookmarkStart w:id="2" w:name="_GoBack"/>
      <w:bookmarkEnd w:id="2"/>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2023年度财政增加对教育支出的投入。</w:t>
      </w:r>
    </w:p>
    <w:p w14:paraId="66630F5E">
      <w:pPr>
        <w:pStyle w:val="15"/>
        <w:spacing w:line="600" w:lineRule="exact"/>
        <w:ind w:firstLine="640" w:firstLineChars="200"/>
        <w:rPr>
          <w:rFonts w:hAnsi="黑体"/>
          <w:bCs/>
          <w:sz w:val="32"/>
          <w:szCs w:val="32"/>
          <w:highlight w:val="none"/>
        </w:rPr>
      </w:pPr>
      <w:r>
        <w:rPr>
          <w:rFonts w:hint="eastAsia" w:hAnsi="黑体"/>
          <w:bCs/>
          <w:sz w:val="32"/>
          <w:szCs w:val="32"/>
          <w:highlight w:val="none"/>
        </w:rPr>
        <w:t>二、收入决算情况说明</w:t>
      </w:r>
    </w:p>
    <w:p w14:paraId="6C7CB733">
      <w:pPr>
        <w:pStyle w:val="15"/>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年度收入合计110345.32万元，其中：财政拨款收入110345.32万元，占</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%；上级补助收入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%；事业收入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%；经营收入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%；附属单位上缴收入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%；其他收入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14:paraId="312304F5">
      <w:pPr>
        <w:pStyle w:val="15"/>
        <w:spacing w:line="600" w:lineRule="exact"/>
        <w:ind w:firstLine="640" w:firstLineChars="200"/>
        <w:rPr>
          <w:rFonts w:hAnsi="黑体"/>
          <w:bCs/>
          <w:sz w:val="32"/>
          <w:szCs w:val="32"/>
          <w:highlight w:val="none"/>
        </w:rPr>
      </w:pPr>
      <w:r>
        <w:rPr>
          <w:rFonts w:hint="eastAsia" w:hAnsi="黑体"/>
          <w:bCs/>
          <w:sz w:val="32"/>
          <w:szCs w:val="32"/>
          <w:highlight w:val="none"/>
        </w:rPr>
        <w:t>三、支出决算情况说明</w:t>
      </w:r>
    </w:p>
    <w:p w14:paraId="44FA3797">
      <w:pPr>
        <w:pStyle w:val="15"/>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年度支出合计110345.32万元，其中：基本支出95191.18万元，占</w:t>
      </w:r>
      <w:r>
        <w:rPr>
          <w:rFonts w:hint="eastAsia" w:ascii="Times New Roman" w:hAnsi="Times New Roman" w:eastAsia="仿宋_GB2312"/>
          <w:sz w:val="32"/>
          <w:szCs w:val="32"/>
          <w:highlight w:val="none"/>
          <w:lang w:val="en-US" w:eastAsia="zh-CN"/>
        </w:rPr>
        <w:t>86.27</w:t>
      </w:r>
      <w:r>
        <w:rPr>
          <w:rFonts w:hint="eastAsia" w:ascii="Times New Roman" w:hAnsi="Times New Roman" w:eastAsia="仿宋_GB2312"/>
          <w:sz w:val="32"/>
          <w:szCs w:val="32"/>
          <w:highlight w:val="none"/>
        </w:rPr>
        <w:t>%；项目支出15154.14万元，占</w:t>
      </w:r>
      <w:r>
        <w:rPr>
          <w:rFonts w:hint="eastAsia" w:ascii="Times New Roman" w:hAnsi="Times New Roman" w:eastAsia="仿宋_GB2312"/>
          <w:sz w:val="32"/>
          <w:szCs w:val="32"/>
          <w:highlight w:val="none"/>
          <w:lang w:val="en-US" w:eastAsia="zh-CN"/>
        </w:rPr>
        <w:t>12.73</w:t>
      </w:r>
      <w:r>
        <w:rPr>
          <w:rFonts w:hint="eastAsia" w:ascii="Times New Roman" w:hAnsi="Times New Roman" w:eastAsia="仿宋_GB2312"/>
          <w:sz w:val="32"/>
          <w:szCs w:val="32"/>
          <w:highlight w:val="none"/>
        </w:rPr>
        <w:t>%；上缴上级支出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%；经营支出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%；对附属单位补助支出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14:paraId="643D09AB">
      <w:pPr>
        <w:pStyle w:val="15"/>
        <w:spacing w:line="600" w:lineRule="exact"/>
        <w:ind w:firstLine="640" w:firstLineChars="200"/>
        <w:rPr>
          <w:rFonts w:hAnsi="黑体"/>
          <w:bCs/>
          <w:sz w:val="32"/>
          <w:szCs w:val="32"/>
          <w:highlight w:val="none"/>
        </w:rPr>
      </w:pPr>
      <w:r>
        <w:rPr>
          <w:rFonts w:hint="eastAsia" w:hAnsi="黑体"/>
          <w:bCs/>
          <w:sz w:val="32"/>
          <w:szCs w:val="32"/>
          <w:highlight w:val="none"/>
        </w:rPr>
        <w:t>四、财政拨款收入支出决算总体情况说明</w:t>
      </w:r>
    </w:p>
    <w:p w14:paraId="35EEFFBB">
      <w:pPr>
        <w:pStyle w:val="15"/>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年度财政拨款收、支总计110345.32万元，与上年相比，增加</w:t>
      </w:r>
      <w:r>
        <w:rPr>
          <w:rFonts w:hint="eastAsia" w:ascii="Times New Roman" w:hAnsi="Times New Roman" w:eastAsia="仿宋_GB2312"/>
          <w:sz w:val="32"/>
          <w:szCs w:val="32"/>
          <w:highlight w:val="none"/>
          <w:lang w:val="en-US" w:eastAsia="zh-CN"/>
        </w:rPr>
        <w:t>8086.87</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增长</w:t>
      </w:r>
      <w:r>
        <w:rPr>
          <w:rFonts w:hint="eastAsia" w:ascii="Times New Roman" w:hAnsi="Times New Roman" w:eastAsia="仿宋_GB2312"/>
          <w:sz w:val="32"/>
          <w:szCs w:val="32"/>
          <w:highlight w:val="none"/>
          <w:lang w:val="en-US" w:eastAsia="zh-CN"/>
        </w:rPr>
        <w:t>7.91</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2023年度财政增加对教育支出的投入。</w:t>
      </w:r>
    </w:p>
    <w:p w14:paraId="25284B3D">
      <w:pPr>
        <w:pStyle w:val="15"/>
        <w:spacing w:line="600" w:lineRule="exact"/>
        <w:ind w:firstLine="640" w:firstLineChars="200"/>
        <w:rPr>
          <w:rFonts w:hAnsi="黑体"/>
          <w:bCs/>
          <w:sz w:val="32"/>
          <w:szCs w:val="32"/>
          <w:highlight w:val="none"/>
        </w:rPr>
      </w:pPr>
      <w:r>
        <w:rPr>
          <w:rFonts w:hint="eastAsia" w:hAnsi="黑体"/>
          <w:bCs/>
          <w:sz w:val="32"/>
          <w:szCs w:val="32"/>
          <w:highlight w:val="none"/>
        </w:rPr>
        <w:t>五、一般公共预算财政拨款支出决算情况说明</w:t>
      </w:r>
    </w:p>
    <w:p w14:paraId="60D8AD0F">
      <w:pPr>
        <w:pStyle w:val="15"/>
        <w:spacing w:line="600" w:lineRule="exact"/>
        <w:ind w:firstLine="640" w:firstLineChars="200"/>
        <w:rPr>
          <w:rFonts w:ascii="楷体" w:hAnsi="楷体" w:eastAsia="楷体" w:cs="楷体"/>
          <w:bCs/>
          <w:sz w:val="32"/>
          <w:szCs w:val="32"/>
          <w:highlight w:val="none"/>
        </w:rPr>
      </w:pPr>
      <w:r>
        <w:rPr>
          <w:rFonts w:hint="eastAsia" w:ascii="楷体" w:hAnsi="楷体" w:eastAsia="楷体" w:cs="楷体"/>
          <w:bCs/>
          <w:sz w:val="32"/>
          <w:szCs w:val="32"/>
          <w:highlight w:val="none"/>
        </w:rPr>
        <w:t>（一）财政拨款支出决算总体情况</w:t>
      </w:r>
    </w:p>
    <w:p w14:paraId="0B11D955">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年度财政拨款支出110345.32万元，占本年支出合计的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%，与上年相比，财政拨款支出增加</w:t>
      </w:r>
      <w:r>
        <w:rPr>
          <w:rFonts w:hint="eastAsia" w:ascii="Times New Roman" w:hAnsi="Times New Roman" w:eastAsia="仿宋_GB2312"/>
          <w:sz w:val="32"/>
          <w:szCs w:val="32"/>
          <w:highlight w:val="none"/>
          <w:lang w:val="en-US" w:eastAsia="zh-CN"/>
        </w:rPr>
        <w:t>8086.87</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7.91</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2023年度财政增加对教育支出的投入。</w:t>
      </w:r>
    </w:p>
    <w:p w14:paraId="20AE97D6">
      <w:pPr>
        <w:pStyle w:val="15"/>
        <w:spacing w:line="600" w:lineRule="exact"/>
        <w:ind w:firstLine="480" w:firstLineChars="150"/>
        <w:rPr>
          <w:rFonts w:ascii="楷体" w:hAnsi="楷体" w:eastAsia="楷体" w:cs="楷体"/>
          <w:bCs/>
          <w:sz w:val="32"/>
          <w:szCs w:val="32"/>
          <w:highlight w:val="none"/>
        </w:rPr>
      </w:pPr>
      <w:r>
        <w:rPr>
          <w:rFonts w:hint="eastAsia" w:ascii="楷体" w:hAnsi="楷体" w:eastAsia="楷体" w:cs="楷体"/>
          <w:bCs/>
          <w:sz w:val="32"/>
          <w:szCs w:val="32"/>
          <w:highlight w:val="none"/>
        </w:rPr>
        <w:t>（二）财政拨款支出决算结构情况</w:t>
      </w:r>
    </w:p>
    <w:p w14:paraId="31F33902">
      <w:pPr>
        <w:pStyle w:val="15"/>
        <w:spacing w:line="600" w:lineRule="exact"/>
        <w:ind w:firstLine="640" w:firstLineChars="200"/>
        <w:rPr>
          <w:rFonts w:hint="default" w:ascii="Times New Roman" w:hAnsi="Times New Roman" w:eastAsia="仿宋_GB2312"/>
          <w:sz w:val="32"/>
          <w:szCs w:val="32"/>
          <w:highlight w:val="none"/>
          <w:lang w:val="en-US"/>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年度财政拨款支出110345.32万元，主要用于以下方面：教育（</w:t>
      </w:r>
      <w:r>
        <w:rPr>
          <w:rFonts w:hint="eastAsia" w:ascii="Times New Roman" w:hAnsi="Times New Roman" w:eastAsia="仿宋_GB2312"/>
          <w:sz w:val="32"/>
          <w:szCs w:val="32"/>
          <w:highlight w:val="none"/>
          <w:lang w:val="en-US" w:eastAsia="zh-CN"/>
        </w:rPr>
        <w:t>205</w:t>
      </w:r>
      <w:r>
        <w:rPr>
          <w:rFonts w:hint="eastAsia" w:ascii="Times New Roman" w:hAnsi="Times New Roman" w:eastAsia="仿宋_GB2312"/>
          <w:sz w:val="32"/>
          <w:szCs w:val="32"/>
          <w:highlight w:val="none"/>
        </w:rPr>
        <w:t>）支出97535.78万元，占</w:t>
      </w:r>
      <w:r>
        <w:rPr>
          <w:rFonts w:hint="eastAsia" w:ascii="Times New Roman" w:hAnsi="Times New Roman" w:eastAsia="仿宋_GB2312"/>
          <w:sz w:val="32"/>
          <w:szCs w:val="32"/>
          <w:highlight w:val="none"/>
          <w:lang w:val="en-US" w:eastAsia="zh-CN"/>
        </w:rPr>
        <w:t>88.39</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；社会保障和就业（</w:t>
      </w:r>
      <w:r>
        <w:rPr>
          <w:rFonts w:hint="eastAsia" w:ascii="Times New Roman" w:hAnsi="Times New Roman" w:eastAsia="仿宋_GB2312"/>
          <w:sz w:val="32"/>
          <w:szCs w:val="32"/>
          <w:highlight w:val="none"/>
          <w:lang w:val="en-US" w:eastAsia="zh-CN"/>
        </w:rPr>
        <w:t>208</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rPr>
        <w:t>9112.24</w:t>
      </w:r>
      <w:r>
        <w:rPr>
          <w:rFonts w:hint="eastAsia" w:ascii="Times New Roman" w:hAnsi="Times New Roman" w:eastAsia="仿宋_GB2312"/>
          <w:sz w:val="32"/>
          <w:szCs w:val="32"/>
          <w:highlight w:val="none"/>
          <w:lang w:eastAsia="zh-CN"/>
        </w:rPr>
        <w:t>万元，占</w:t>
      </w:r>
      <w:r>
        <w:rPr>
          <w:rFonts w:hint="eastAsia" w:ascii="Times New Roman" w:hAnsi="Times New Roman" w:eastAsia="仿宋_GB2312"/>
          <w:sz w:val="32"/>
          <w:szCs w:val="32"/>
          <w:highlight w:val="none"/>
          <w:lang w:val="en-US" w:eastAsia="zh-CN"/>
        </w:rPr>
        <w:t>8.26</w:t>
      </w:r>
      <w:r>
        <w:rPr>
          <w:rFonts w:hint="eastAsia" w:ascii="Times New Roman" w:hAnsi="Times New Roman" w:eastAsia="仿宋_GB2312"/>
          <w:sz w:val="32"/>
          <w:szCs w:val="32"/>
          <w:highlight w:val="none"/>
          <w:lang w:eastAsia="zh-CN"/>
        </w:rPr>
        <w:t>%；卫生健康（</w:t>
      </w:r>
      <w:r>
        <w:rPr>
          <w:rFonts w:hint="eastAsia" w:ascii="Times New Roman" w:hAnsi="Times New Roman" w:eastAsia="仿宋_GB2312"/>
          <w:sz w:val="32"/>
          <w:szCs w:val="32"/>
          <w:highlight w:val="none"/>
          <w:lang w:val="en-US" w:eastAsia="zh-CN"/>
        </w:rPr>
        <w:t>210</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rPr>
        <w:t>3687.3</w:t>
      </w:r>
      <w:r>
        <w:rPr>
          <w:rFonts w:hint="eastAsia" w:ascii="Times New Roman" w:hAnsi="Times New Roman" w:eastAsia="仿宋_GB2312"/>
          <w:sz w:val="32"/>
          <w:szCs w:val="32"/>
          <w:highlight w:val="none"/>
          <w:lang w:eastAsia="zh-CN"/>
        </w:rPr>
        <w:t>万元，占</w:t>
      </w:r>
      <w:r>
        <w:rPr>
          <w:rFonts w:hint="eastAsia" w:ascii="Times New Roman" w:hAnsi="Times New Roman" w:eastAsia="仿宋_GB2312"/>
          <w:sz w:val="32"/>
          <w:szCs w:val="32"/>
          <w:highlight w:val="none"/>
          <w:lang w:val="en-US" w:eastAsia="zh-CN"/>
        </w:rPr>
        <w:t>3.34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其他支出（299）</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eastAsia="zh-CN"/>
        </w:rPr>
        <w:t>万元，占</w:t>
      </w:r>
      <w:r>
        <w:rPr>
          <w:rFonts w:hint="eastAsia" w:ascii="Times New Roman" w:hAnsi="Times New Roman" w:eastAsia="仿宋_GB2312"/>
          <w:sz w:val="32"/>
          <w:szCs w:val="32"/>
          <w:highlight w:val="none"/>
          <w:lang w:val="en-US" w:eastAsia="zh-CN"/>
        </w:rPr>
        <w:t>0.01</w:t>
      </w:r>
      <w:r>
        <w:rPr>
          <w:rFonts w:hint="eastAsia" w:ascii="Times New Roman" w:hAnsi="Times New Roman" w:eastAsia="仿宋_GB2312"/>
          <w:sz w:val="32"/>
          <w:szCs w:val="32"/>
          <w:highlight w:val="none"/>
          <w:lang w:eastAsia="zh-CN"/>
        </w:rPr>
        <w:t>%。</w:t>
      </w:r>
    </w:p>
    <w:p w14:paraId="3B42E83F">
      <w:pPr>
        <w:pStyle w:val="15"/>
        <w:spacing w:line="600" w:lineRule="exact"/>
        <w:ind w:firstLine="800" w:firstLineChars="250"/>
        <w:rPr>
          <w:rFonts w:ascii="楷体" w:hAnsi="楷体" w:eastAsia="楷体" w:cs="楷体"/>
          <w:bCs/>
          <w:sz w:val="32"/>
          <w:szCs w:val="32"/>
          <w:highlight w:val="none"/>
        </w:rPr>
      </w:pPr>
      <w:r>
        <w:rPr>
          <w:rFonts w:hint="eastAsia" w:ascii="楷体" w:hAnsi="楷体" w:eastAsia="楷体" w:cs="楷体"/>
          <w:bCs/>
          <w:sz w:val="32"/>
          <w:szCs w:val="32"/>
          <w:highlight w:val="none"/>
        </w:rPr>
        <w:t>（三）财政拨款支出决算具体情况</w:t>
      </w:r>
    </w:p>
    <w:p w14:paraId="02192E22">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年度财政拨款支出年初预算数为</w:t>
      </w:r>
      <w:r>
        <w:rPr>
          <w:rFonts w:hint="eastAsia" w:ascii="Times New Roman" w:hAnsi="Times New Roman" w:eastAsia="仿宋_GB2312"/>
          <w:sz w:val="32"/>
          <w:szCs w:val="32"/>
          <w:highlight w:val="none"/>
          <w:lang w:val="en-US" w:eastAsia="zh-CN"/>
        </w:rPr>
        <w:t>1106.06</w:t>
      </w:r>
      <w:r>
        <w:rPr>
          <w:rFonts w:hint="eastAsia" w:ascii="Times New Roman" w:hAnsi="Times New Roman" w:eastAsia="仿宋_GB2312"/>
          <w:sz w:val="32"/>
          <w:szCs w:val="32"/>
          <w:highlight w:val="none"/>
        </w:rPr>
        <w:t>万元，支出决算数为110345.32万元，完成年初预算的</w:t>
      </w:r>
      <w:r>
        <w:rPr>
          <w:rFonts w:hint="eastAsia" w:ascii="Times New Roman" w:hAnsi="Times New Roman" w:eastAsia="仿宋_GB2312"/>
          <w:sz w:val="32"/>
          <w:szCs w:val="32"/>
          <w:highlight w:val="none"/>
          <w:lang w:val="en-US" w:eastAsia="zh-CN"/>
        </w:rPr>
        <w:t>152.62%</w:t>
      </w:r>
      <w:r>
        <w:rPr>
          <w:rFonts w:hint="eastAsia" w:ascii="Times New Roman" w:hAnsi="Times New Roman" w:eastAsia="仿宋_GB2312"/>
          <w:sz w:val="32"/>
          <w:szCs w:val="32"/>
          <w:highlight w:val="none"/>
        </w:rPr>
        <w:t>，其中：</w:t>
      </w:r>
    </w:p>
    <w:p w14:paraId="75E6C6D8">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1、教育支出（类）教育管理事务（款）行政运行（项）。</w:t>
      </w:r>
    </w:p>
    <w:p w14:paraId="6FD329C1">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192.45</w:t>
      </w:r>
      <w:r>
        <w:rPr>
          <w:rFonts w:hint="eastAsia" w:ascii="Times New Roman" w:hAnsi="Times New Roman" w:eastAsia="仿宋_GB2312"/>
          <w:sz w:val="32"/>
          <w:szCs w:val="32"/>
          <w:highlight w:val="none"/>
        </w:rPr>
        <w:t>万元，支出决算为1002.09万元，完成年初预算的</w:t>
      </w:r>
      <w:r>
        <w:rPr>
          <w:rFonts w:hint="eastAsia" w:ascii="Times New Roman" w:hAnsi="Times New Roman" w:eastAsia="仿宋_GB2312"/>
          <w:sz w:val="32"/>
          <w:szCs w:val="32"/>
          <w:highlight w:val="none"/>
          <w:lang w:val="en-US" w:eastAsia="zh-CN"/>
        </w:rPr>
        <w:t>520.70</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714980B7">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2、教育支出（类）教育管理事务（款）一般行政管理事务（项）。</w:t>
      </w:r>
    </w:p>
    <w:p w14:paraId="45DB5539">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729.67</w:t>
      </w:r>
      <w:r>
        <w:rPr>
          <w:rFonts w:hint="eastAsia" w:ascii="Times New Roman" w:hAnsi="Times New Roman" w:eastAsia="仿宋_GB2312"/>
          <w:sz w:val="32"/>
          <w:szCs w:val="32"/>
          <w:highlight w:val="none"/>
        </w:rPr>
        <w:t>万元，支出决算为1258.02万元，完成年初预算的</w:t>
      </w:r>
      <w:r>
        <w:rPr>
          <w:rFonts w:hint="eastAsia" w:ascii="Times New Roman" w:hAnsi="Times New Roman" w:eastAsia="仿宋_GB2312"/>
          <w:sz w:val="32"/>
          <w:szCs w:val="32"/>
          <w:highlight w:val="none"/>
          <w:lang w:val="en-US" w:eastAsia="zh-CN"/>
        </w:rPr>
        <w:t>172.41</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0D113604">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、教育支出（类）教育管理事务（款）其他教育管理事务支出（项）。</w:t>
      </w:r>
    </w:p>
    <w:p w14:paraId="0FE6D6F3">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328.69</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512E0388">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、教育支出（类）普通教育（款）学前教育（项）。</w:t>
      </w:r>
    </w:p>
    <w:p w14:paraId="186F7FCE">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2537.61</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2A9438AC">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、教育支出（类）普通教育（款）小学教育（项）。</w:t>
      </w:r>
    </w:p>
    <w:p w14:paraId="3506A715">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42194.76</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7A83B5B6">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、教育支出（类）普通教育（款）初中教育（项）。</w:t>
      </w:r>
    </w:p>
    <w:p w14:paraId="6D5D61D9">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46155.7</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7012E9C2">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、教育支出（类）普通教育（款）高中教育（项）。</w:t>
      </w:r>
    </w:p>
    <w:p w14:paraId="060B2920">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449.04</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2A340EBB">
      <w:pPr>
        <w:pStyle w:val="15"/>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、教育支出（类）普通教育（款）其他普通教育支出（项）。</w:t>
      </w:r>
    </w:p>
    <w:p w14:paraId="2F97BD52">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905.96</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1AC97CA3">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、教育支出（类）职业教育（款）中等职业教育（项）。</w:t>
      </w:r>
    </w:p>
    <w:p w14:paraId="2FD24C5E">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339.38</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7884A6B3">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、教育支出（类）成人教育（款）成人初等教育（项）。</w:t>
      </w:r>
    </w:p>
    <w:p w14:paraId="3FC60335">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3.47</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3A6CB540">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rPr>
        <w:t>、教育支出（类）特殊教育（款）特殊学校教育（项）。</w:t>
      </w:r>
    </w:p>
    <w:p w14:paraId="041C1571">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424.05</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032339D2">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rPr>
        <w:t>、教育支出（类）进修及培训（款）培训支出（项）。</w:t>
      </w:r>
    </w:p>
    <w:p w14:paraId="10450639">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616.69</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6011B3C3">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rPr>
        <w:t>、教育支出（类）教育费附加安排的支出（款）农村中小学校舍建设（项）。</w:t>
      </w:r>
    </w:p>
    <w:p w14:paraId="04E12142">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963.72</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7D7385B7">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14</w:t>
      </w:r>
      <w:r>
        <w:rPr>
          <w:rFonts w:hint="eastAsia" w:ascii="Times New Roman" w:hAnsi="Times New Roman" w:eastAsia="仿宋_GB2312"/>
          <w:sz w:val="32"/>
          <w:szCs w:val="32"/>
          <w:highlight w:val="none"/>
        </w:rPr>
        <w:t>、教育支出（类）普通教育（款）农村中小学教学设施（项）。</w:t>
      </w:r>
    </w:p>
    <w:p w14:paraId="36D8A9D4">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351.39</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646D5AF0">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rPr>
        <w:t>、教育支出（类）普通教育（款）其他教育费附加安排的支出（项）。</w:t>
      </w:r>
    </w:p>
    <w:p w14:paraId="7BEC8ABF">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0.06</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1E286931">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16</w:t>
      </w:r>
      <w:r>
        <w:rPr>
          <w:rFonts w:hint="eastAsia" w:ascii="Times New Roman" w:hAnsi="Times New Roman" w:eastAsia="仿宋_GB2312"/>
          <w:sz w:val="32"/>
          <w:szCs w:val="32"/>
          <w:highlight w:val="none"/>
        </w:rPr>
        <w:t>、教育支出（类）其他教育支出（款）其他教育支出（项）。</w:t>
      </w:r>
    </w:p>
    <w:p w14:paraId="76CD7F5D">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5.14</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43CC4BD7">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17</w:t>
      </w:r>
      <w:r>
        <w:rPr>
          <w:rFonts w:hint="eastAsia" w:ascii="Times New Roman" w:hAnsi="Times New Roman" w:eastAsia="仿宋_GB2312"/>
          <w:sz w:val="32"/>
          <w:szCs w:val="32"/>
          <w:highlight w:val="none"/>
        </w:rPr>
        <w:t>、社会保障和就业支出（类）行政事业单位养老支出（款）机关事业单位基本养老保险缴费支出（项）。</w:t>
      </w:r>
    </w:p>
    <w:p w14:paraId="300DA3ED">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114.2</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8728.68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7643.33</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4E38EA8C">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18</w:t>
      </w:r>
      <w:r>
        <w:rPr>
          <w:rFonts w:hint="eastAsia" w:ascii="Times New Roman" w:hAnsi="Times New Roman" w:eastAsia="仿宋_GB2312"/>
          <w:sz w:val="32"/>
          <w:szCs w:val="32"/>
          <w:highlight w:val="none"/>
        </w:rPr>
        <w:t>、社会保障和就业支出（类）抚恤（款）死亡抚恤（项）。</w:t>
      </w:r>
    </w:p>
    <w:p w14:paraId="3A9BEA19">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5.91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383.57</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6490.19</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72223657">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19</w:t>
      </w:r>
      <w:r>
        <w:rPr>
          <w:rFonts w:hint="eastAsia" w:ascii="Times New Roman" w:hAnsi="Times New Roman" w:eastAsia="仿宋_GB2312"/>
          <w:sz w:val="32"/>
          <w:szCs w:val="32"/>
          <w:highlight w:val="none"/>
        </w:rPr>
        <w:t>、卫生健康支出（类）行政事业单位医疗（款）行政单位医疗（项）。</w:t>
      </w:r>
    </w:p>
    <w:p w14:paraId="07BFA3AE">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48.94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48.94</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决算数与年初预算数持平。</w:t>
      </w:r>
    </w:p>
    <w:p w14:paraId="680C1455">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20</w:t>
      </w:r>
      <w:r>
        <w:rPr>
          <w:rFonts w:hint="eastAsia" w:ascii="Times New Roman" w:hAnsi="Times New Roman" w:eastAsia="仿宋_GB2312"/>
          <w:sz w:val="32"/>
          <w:szCs w:val="32"/>
          <w:highlight w:val="none"/>
        </w:rPr>
        <w:t>、卫生健康支出（类）行政事业单位医疗（款）事业单位医疗（项）。</w:t>
      </w:r>
    </w:p>
    <w:p w14:paraId="298AAE74">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3638.36</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2245DA7B">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21</w:t>
      </w:r>
      <w:r>
        <w:rPr>
          <w:rFonts w:hint="eastAsia" w:ascii="Times New Roman" w:hAnsi="Times New Roman" w:eastAsia="仿宋_GB2312"/>
          <w:sz w:val="32"/>
          <w:szCs w:val="32"/>
          <w:highlight w:val="none"/>
        </w:rPr>
        <w:t>、其他支出（类）彩票公益金安排的支出（款）用于社会福利的彩票公益金支出（项）。</w:t>
      </w:r>
    </w:p>
    <w:p w14:paraId="4588982D">
      <w:pPr>
        <w:pStyle w:val="15"/>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万元，完</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p>
    <w:p w14:paraId="2D6BD872">
      <w:pPr>
        <w:pStyle w:val="15"/>
        <w:spacing w:line="600" w:lineRule="exact"/>
        <w:ind w:firstLine="640" w:firstLineChars="200"/>
        <w:rPr>
          <w:rFonts w:hAnsi="黑体"/>
          <w:bCs/>
          <w:sz w:val="32"/>
          <w:szCs w:val="32"/>
          <w:highlight w:val="none"/>
        </w:rPr>
      </w:pPr>
      <w:r>
        <w:rPr>
          <w:rFonts w:hint="eastAsia" w:hAnsi="黑体"/>
          <w:bCs/>
          <w:sz w:val="32"/>
          <w:szCs w:val="32"/>
          <w:highlight w:val="none"/>
        </w:rPr>
        <w:t>六、一般公共预算财政拨款基本支出决算情况说明</w:t>
      </w:r>
    </w:p>
    <w:p w14:paraId="1BDF9CB9">
      <w:pPr>
        <w:pStyle w:val="15"/>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年度财政拨款基本支出95191.18万元，其中：</w:t>
      </w:r>
    </w:p>
    <w:p w14:paraId="0FDA27F7">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rPr>
        <w:t>人员经费</w:t>
      </w:r>
      <w:r>
        <w:rPr>
          <w:rFonts w:hint="eastAsia" w:ascii="Times New Roman" w:hAnsi="Times New Roman" w:eastAsia="仿宋_GB2312"/>
          <w:sz w:val="32"/>
          <w:szCs w:val="32"/>
          <w:highlight w:val="none"/>
        </w:rPr>
        <w:t>89395.77万元，占基本支出的</w:t>
      </w:r>
      <w:r>
        <w:rPr>
          <w:rFonts w:hint="eastAsia" w:ascii="Times New Roman" w:hAnsi="Times New Roman" w:eastAsia="仿宋_GB2312"/>
          <w:sz w:val="32"/>
          <w:szCs w:val="32"/>
          <w:highlight w:val="none"/>
          <w:lang w:val="en-US" w:eastAsia="zh-CN"/>
        </w:rPr>
        <w:t>93.91</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主要包括基本工资、津贴补贴、奖金、</w:t>
      </w:r>
      <w:r>
        <w:rPr>
          <w:rFonts w:hint="eastAsia" w:ascii="Times New Roman" w:hAnsi="Times New Roman" w:eastAsia="仿宋_GB2312"/>
          <w:sz w:val="32"/>
          <w:szCs w:val="32"/>
          <w:highlight w:val="none"/>
          <w:lang w:eastAsia="zh-CN"/>
        </w:rPr>
        <w:t>机关事业单位基本养老保险缴费、职工基本医疗保险缴费、其他社会保障缴费、其他工资福利支出、退休费、抚恤金、生活补助、 助学金、其他对个人和家庭的补助。</w:t>
      </w:r>
      <w:r>
        <w:rPr>
          <w:rFonts w:hint="eastAsia" w:ascii="Times New Roman" w:hAnsi="Times New Roman" w:eastAsia="仿宋_GB2312"/>
          <w:b/>
          <w:bCs/>
          <w:sz w:val="32"/>
          <w:szCs w:val="32"/>
          <w:highlight w:val="none"/>
        </w:rPr>
        <w:t>公用经费</w:t>
      </w:r>
      <w:r>
        <w:rPr>
          <w:rFonts w:hint="eastAsia" w:ascii="Times New Roman" w:hAnsi="Times New Roman" w:eastAsia="仿宋_GB2312"/>
          <w:sz w:val="32"/>
          <w:szCs w:val="32"/>
          <w:highlight w:val="none"/>
        </w:rPr>
        <w:t>5795.41万元，占基本支出的</w:t>
      </w:r>
      <w:r>
        <w:rPr>
          <w:rFonts w:hint="eastAsia" w:ascii="Times New Roman" w:hAnsi="Times New Roman" w:eastAsia="仿宋_GB2312"/>
          <w:sz w:val="32"/>
          <w:szCs w:val="32"/>
          <w:highlight w:val="none"/>
          <w:lang w:val="en-US" w:eastAsia="zh-CN"/>
        </w:rPr>
        <w:t>6.09</w:t>
      </w:r>
      <w:r>
        <w:rPr>
          <w:rFonts w:hint="eastAsia" w:ascii="Times New Roman" w:hAnsi="Times New Roman" w:eastAsia="仿宋_GB2312"/>
          <w:sz w:val="32"/>
          <w:szCs w:val="32"/>
          <w:highlight w:val="none"/>
        </w:rPr>
        <w:t>%，主要包括办公费、印刷费、咨询费、水费</w:t>
      </w:r>
      <w:r>
        <w:rPr>
          <w:rFonts w:hint="eastAsia" w:ascii="Times New Roman" w:hAnsi="Times New Roman" w:eastAsia="仿宋_GB2312"/>
          <w:sz w:val="32"/>
          <w:szCs w:val="32"/>
          <w:highlight w:val="none"/>
          <w:lang w:eastAsia="zh-CN"/>
        </w:rPr>
        <w:t>、电费、邮电费、物业管理费、差旅费、维修（护）费、会议费、培训费、公务接待费、专用材料费、劳务费、委托业务费、工会经费、福利费、其他交通费用、 其他商品和服务支出</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 xml:space="preserve">       </w:t>
      </w:r>
    </w:p>
    <w:p w14:paraId="084185A7">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b/>
          <w:sz w:val="32"/>
          <w:szCs w:val="32"/>
          <w:highlight w:val="none"/>
        </w:rPr>
      </w:pPr>
      <w:r>
        <w:rPr>
          <w:rFonts w:hint="eastAsia" w:hAnsi="黑体"/>
          <w:bCs/>
          <w:sz w:val="32"/>
          <w:szCs w:val="32"/>
          <w:highlight w:val="none"/>
        </w:rPr>
        <w:t>七、财政拨款</w:t>
      </w:r>
      <w:r>
        <w:rPr>
          <w:rFonts w:hint="eastAsia" w:hAnsi="黑体"/>
          <w:bCs/>
          <w:sz w:val="32"/>
          <w:szCs w:val="32"/>
          <w:highlight w:val="none"/>
          <w:lang w:eastAsia="zh-CN"/>
        </w:rPr>
        <w:t>“</w:t>
      </w:r>
      <w:r>
        <w:rPr>
          <w:rFonts w:hint="eastAsia" w:hAnsi="黑体"/>
          <w:bCs/>
          <w:sz w:val="32"/>
          <w:szCs w:val="32"/>
          <w:highlight w:val="none"/>
        </w:rPr>
        <w:t>三公</w:t>
      </w:r>
      <w:r>
        <w:rPr>
          <w:rFonts w:hint="eastAsia" w:hAnsi="黑体"/>
          <w:bCs/>
          <w:sz w:val="32"/>
          <w:szCs w:val="32"/>
          <w:highlight w:val="none"/>
          <w:lang w:eastAsia="zh-CN"/>
        </w:rPr>
        <w:t>”</w:t>
      </w:r>
      <w:r>
        <w:rPr>
          <w:rFonts w:hint="eastAsia" w:hAnsi="黑体"/>
          <w:bCs/>
          <w:sz w:val="32"/>
          <w:szCs w:val="32"/>
          <w:highlight w:val="none"/>
        </w:rPr>
        <w:t>经费支出决算情况说明</w:t>
      </w:r>
    </w:p>
    <w:p w14:paraId="2952558F">
      <w:pPr>
        <w:pStyle w:val="15"/>
        <w:spacing w:line="600" w:lineRule="exact"/>
        <w:ind w:firstLine="643" w:firstLineChars="200"/>
        <w:rPr>
          <w:rFonts w:ascii="楷体" w:hAnsi="楷体" w:eastAsia="楷体" w:cs="楷体"/>
          <w:b/>
          <w:sz w:val="32"/>
          <w:szCs w:val="32"/>
          <w:highlight w:val="none"/>
        </w:rPr>
      </w:pPr>
      <w:r>
        <w:rPr>
          <w:rFonts w:hint="eastAsia" w:ascii="楷体" w:hAnsi="楷体" w:eastAsia="楷体" w:cs="楷体"/>
          <w:b/>
          <w:sz w:val="32"/>
          <w:szCs w:val="32"/>
          <w:highlight w:val="none"/>
        </w:rPr>
        <w:t>（一）“三公”经费财政拨款支出决算总体情况说明</w:t>
      </w:r>
    </w:p>
    <w:p w14:paraId="13697690">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2023年度</w:t>
      </w:r>
      <w:r>
        <w:rPr>
          <w:rFonts w:hint="eastAsia" w:ascii="Times New Roman" w:hAnsi="Times New Roman" w:eastAsia="仿宋_GB2312"/>
          <w:sz w:val="32"/>
          <w:szCs w:val="32"/>
          <w:highlight w:val="none"/>
        </w:rPr>
        <w:t>“三公”经费财政拨款支出预算为</w:t>
      </w:r>
      <w:r>
        <w:rPr>
          <w:rFonts w:hint="eastAsia" w:ascii="Times New Roman" w:hAnsi="Times New Roman" w:eastAsia="仿宋_GB2312"/>
          <w:sz w:val="32"/>
          <w:szCs w:val="32"/>
          <w:highlight w:val="none"/>
          <w:lang w:val="en-US" w:eastAsia="zh-CN"/>
        </w:rPr>
        <w:t>36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35.23</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97.86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决算数小于预算数的主要原因是</w:t>
      </w:r>
      <w:r>
        <w:rPr>
          <w:rFonts w:hint="eastAsia" w:ascii="仿宋_GB2312" w:hAnsi="仿宋_GB2312" w:eastAsia="仿宋_GB2312" w:cs="仿宋_GB2312"/>
          <w:sz w:val="32"/>
          <w:szCs w:val="32"/>
          <w:highlight w:val="none"/>
          <w:lang w:eastAsia="zh-CN"/>
        </w:rPr>
        <w:t>本年度公务接待批次、人数减少，</w:t>
      </w:r>
      <w:r>
        <w:rPr>
          <w:rFonts w:hint="eastAsia" w:ascii="仿宋_GB2312" w:hAnsi="仿宋_GB2312" w:eastAsia="仿宋_GB2312" w:cs="仿宋_GB2312"/>
          <w:sz w:val="32"/>
          <w:szCs w:val="32"/>
          <w:highlight w:val="none"/>
          <w:lang w:val="en-US" w:eastAsia="zh-CN"/>
        </w:rPr>
        <w:t>相应</w:t>
      </w:r>
      <w:r>
        <w:rPr>
          <w:rFonts w:hint="eastAsia" w:ascii="仿宋_GB2312" w:hAnsi="仿宋_GB2312" w:eastAsia="仿宋_GB2312" w:cs="仿宋_GB2312"/>
          <w:sz w:val="32"/>
          <w:szCs w:val="32"/>
          <w:highlight w:val="none"/>
          <w:lang w:eastAsia="zh-CN"/>
        </w:rPr>
        <w:t>公务接待</w:t>
      </w:r>
      <w:r>
        <w:rPr>
          <w:rFonts w:hint="eastAsia" w:ascii="仿宋_GB2312" w:hAnsi="仿宋_GB2312" w:eastAsia="仿宋_GB2312" w:cs="仿宋_GB2312"/>
          <w:sz w:val="32"/>
          <w:szCs w:val="32"/>
          <w:highlight w:val="none"/>
          <w:lang w:val="en-US" w:eastAsia="zh-CN"/>
        </w:rPr>
        <w:t>减少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1.39</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3.80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减少的主要原因是</w:t>
      </w:r>
      <w:r>
        <w:rPr>
          <w:rFonts w:hint="eastAsia" w:ascii="仿宋_GB2312" w:hAnsi="仿宋_GB2312" w:eastAsia="仿宋_GB2312" w:cs="仿宋_GB2312"/>
          <w:sz w:val="32"/>
          <w:szCs w:val="32"/>
          <w:highlight w:val="none"/>
          <w:lang w:eastAsia="zh-CN"/>
        </w:rPr>
        <w:t>本年度公务接待批次、人数减少</w:t>
      </w:r>
      <w:r>
        <w:rPr>
          <w:rFonts w:hint="eastAsia" w:ascii="Times New Roman" w:hAnsi="Times New Roman" w:eastAsia="仿宋_GB2312"/>
          <w:sz w:val="32"/>
          <w:szCs w:val="32"/>
          <w:highlight w:val="none"/>
        </w:rPr>
        <w:t>。其中：</w:t>
      </w:r>
    </w:p>
    <w:p w14:paraId="1AD5FD03">
      <w:pPr>
        <w:pStyle w:val="15"/>
        <w:spacing w:line="600" w:lineRule="exact"/>
        <w:ind w:firstLine="800" w:firstLineChars="25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因公出国（境）费支出预算为0万元，支出决算为0万元，与上年相比无变化，决算数与年初预算数持平，持平的主要原因是本年度本单位无因公出国（境）费支出，与上年持平，持平的主要原因是上年与本年度本单位均无因公出国（境）费支出。</w:t>
      </w:r>
    </w:p>
    <w:p w14:paraId="3E66B5C0">
      <w:pPr>
        <w:pStyle w:val="15"/>
        <w:spacing w:line="600" w:lineRule="exact"/>
        <w:ind w:firstLine="800" w:firstLineChars="25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公务接待费支出预算为</w:t>
      </w:r>
      <w:r>
        <w:rPr>
          <w:rFonts w:hint="eastAsia" w:ascii="Times New Roman" w:hAnsi="Times New Roman" w:eastAsia="仿宋_GB2312"/>
          <w:sz w:val="32"/>
          <w:szCs w:val="32"/>
          <w:highlight w:val="none"/>
          <w:lang w:val="en-US" w:eastAsia="zh-CN"/>
        </w:rPr>
        <w:t>36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35.23</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97.86</w:t>
      </w:r>
      <w:r>
        <w:rPr>
          <w:rFonts w:hint="eastAsia" w:ascii="Times New Roman" w:hAnsi="Times New Roman" w:eastAsia="仿宋_GB2312"/>
          <w:sz w:val="32"/>
          <w:szCs w:val="32"/>
          <w:highlight w:val="none"/>
        </w:rPr>
        <w:t>%，决算数小于预算数的主要原因是</w:t>
      </w:r>
      <w:r>
        <w:rPr>
          <w:rFonts w:hint="eastAsia" w:ascii="仿宋_GB2312" w:hAnsi="仿宋_GB2312" w:eastAsia="仿宋_GB2312" w:cs="仿宋_GB2312"/>
          <w:sz w:val="32"/>
          <w:szCs w:val="32"/>
          <w:highlight w:val="none"/>
          <w:lang w:eastAsia="zh-CN"/>
        </w:rPr>
        <w:t>本年度公务接待批次、人数减少，</w:t>
      </w:r>
      <w:r>
        <w:rPr>
          <w:rFonts w:hint="eastAsia" w:ascii="仿宋_GB2312" w:hAnsi="仿宋_GB2312" w:eastAsia="仿宋_GB2312" w:cs="仿宋_GB2312"/>
          <w:sz w:val="32"/>
          <w:szCs w:val="32"/>
          <w:highlight w:val="none"/>
          <w:lang w:val="en-US" w:eastAsia="zh-CN"/>
        </w:rPr>
        <w:t>相应</w:t>
      </w:r>
      <w:r>
        <w:rPr>
          <w:rFonts w:hint="eastAsia" w:ascii="仿宋_GB2312" w:hAnsi="仿宋_GB2312" w:eastAsia="仿宋_GB2312" w:cs="仿宋_GB2312"/>
          <w:sz w:val="32"/>
          <w:szCs w:val="32"/>
          <w:highlight w:val="none"/>
          <w:lang w:eastAsia="zh-CN"/>
        </w:rPr>
        <w:t>公务接待</w:t>
      </w:r>
      <w:r>
        <w:rPr>
          <w:rFonts w:hint="eastAsia" w:ascii="仿宋_GB2312" w:hAnsi="仿宋_GB2312" w:eastAsia="仿宋_GB2312" w:cs="仿宋_GB2312"/>
          <w:sz w:val="32"/>
          <w:szCs w:val="32"/>
          <w:highlight w:val="none"/>
          <w:lang w:val="en-US" w:eastAsia="zh-CN"/>
        </w:rPr>
        <w:t>减少</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1.39</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3.80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减少的主要原因是本年度公务接待批次、人数减少。</w:t>
      </w:r>
    </w:p>
    <w:p w14:paraId="12AFA511">
      <w:pPr>
        <w:pStyle w:val="15"/>
        <w:spacing w:line="600" w:lineRule="exact"/>
        <w:ind w:firstLine="800" w:firstLineChars="25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公务用车购置费支出预算为0万元，支出决算为0万元，决算数与预算数持平，主要原因是本年度本单位无公务用车购置费支出，与上年相比无变化，主要原因是上年与本年度本单位均无公务用车购置费支出。</w:t>
      </w:r>
    </w:p>
    <w:p w14:paraId="4CB93332">
      <w:pPr>
        <w:pStyle w:val="15"/>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公务用车运行维护费支出预算为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万元，决算数</w:t>
      </w:r>
      <w:r>
        <w:rPr>
          <w:rFonts w:hint="eastAsia" w:ascii="Times New Roman" w:hAnsi="Times New Roman" w:eastAsia="仿宋_GB2312"/>
          <w:sz w:val="32"/>
          <w:szCs w:val="32"/>
          <w:highlight w:val="none"/>
          <w:lang w:val="en-US" w:eastAsia="zh-CN"/>
        </w:rPr>
        <w:t>与</w:t>
      </w:r>
      <w:r>
        <w:rPr>
          <w:rFonts w:hint="eastAsia" w:ascii="Times New Roman" w:hAnsi="Times New Roman" w:eastAsia="仿宋_GB2312"/>
          <w:sz w:val="32"/>
          <w:szCs w:val="32"/>
          <w:highlight w:val="none"/>
        </w:rPr>
        <w:t>预算数</w:t>
      </w:r>
      <w:r>
        <w:rPr>
          <w:rFonts w:hint="eastAsia" w:ascii="Times New Roman" w:hAnsi="Times New Roman" w:eastAsia="仿宋_GB2312"/>
          <w:sz w:val="32"/>
          <w:szCs w:val="32"/>
          <w:highlight w:val="none"/>
          <w:lang w:val="en-US" w:eastAsia="zh-CN"/>
        </w:rPr>
        <w:t>持平，</w:t>
      </w:r>
      <w:r>
        <w:rPr>
          <w:rFonts w:hint="eastAsia" w:ascii="Times New Roman" w:hAnsi="Times New Roman" w:eastAsia="仿宋_GB2312"/>
          <w:sz w:val="32"/>
          <w:szCs w:val="32"/>
          <w:highlight w:val="none"/>
        </w:rPr>
        <w:t>主要原因是</w:t>
      </w:r>
      <w:r>
        <w:rPr>
          <w:rFonts w:hint="eastAsia" w:ascii="Times New Roman" w:hAnsi="Times New Roman" w:eastAsia="仿宋_GB2312" w:cs="Times New Roman"/>
          <w:color w:val="auto"/>
          <w:sz w:val="32"/>
          <w:szCs w:val="32"/>
          <w:highlight w:val="none"/>
          <w:lang w:val="en-US" w:eastAsia="zh-CN"/>
        </w:rPr>
        <w:t>本年度本单位无</w:t>
      </w:r>
      <w:r>
        <w:rPr>
          <w:rFonts w:hint="eastAsia" w:ascii="仿宋_GB2312" w:hAnsi="仿宋_GB2312" w:eastAsia="仿宋_GB2312" w:cs="仿宋_GB2312"/>
          <w:sz w:val="32"/>
          <w:szCs w:val="32"/>
          <w:highlight w:val="none"/>
          <w:lang w:eastAsia="zh-CN"/>
        </w:rPr>
        <w:t>公务用车</w:t>
      </w:r>
      <w:r>
        <w:rPr>
          <w:rFonts w:hint="eastAsia" w:ascii="Times New Roman" w:hAnsi="Times New Roman" w:eastAsia="仿宋_GB2312"/>
          <w:sz w:val="32"/>
          <w:szCs w:val="32"/>
          <w:highlight w:val="none"/>
        </w:rPr>
        <w:t>，与上年相比</w:t>
      </w:r>
      <w:r>
        <w:rPr>
          <w:rFonts w:hint="eastAsia" w:ascii="Times New Roman" w:hAnsi="Times New Roman" w:eastAsia="仿宋_GB2312"/>
          <w:sz w:val="32"/>
          <w:szCs w:val="32"/>
          <w:highlight w:val="none"/>
          <w:lang w:val="en-US" w:eastAsia="zh-CN"/>
        </w:rPr>
        <w:t>无变化，</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上</w:t>
      </w:r>
      <w:r>
        <w:rPr>
          <w:rFonts w:hint="eastAsia" w:ascii="仿宋_GB2312" w:hAnsi="仿宋_GB2312" w:eastAsia="仿宋_GB2312" w:cs="仿宋_GB2312"/>
          <w:sz w:val="32"/>
          <w:szCs w:val="32"/>
          <w:highlight w:val="none"/>
          <w:lang w:eastAsia="zh-CN"/>
        </w:rPr>
        <w:t>本年度单位公务车已申请报废处置，</w:t>
      </w:r>
      <w:r>
        <w:rPr>
          <w:rFonts w:hint="eastAsia" w:ascii="Times New Roman" w:hAnsi="Times New Roman" w:eastAsia="仿宋_GB2312" w:cs="Times New Roman"/>
          <w:color w:val="auto"/>
          <w:sz w:val="32"/>
          <w:szCs w:val="32"/>
          <w:highlight w:val="none"/>
          <w:lang w:val="en-US" w:eastAsia="zh-CN"/>
        </w:rPr>
        <w:t>本年度本单位无</w:t>
      </w:r>
      <w:r>
        <w:rPr>
          <w:rFonts w:hint="eastAsia" w:ascii="仿宋_GB2312" w:hAnsi="仿宋_GB2312" w:eastAsia="仿宋_GB2312" w:cs="仿宋_GB2312"/>
          <w:sz w:val="32"/>
          <w:szCs w:val="32"/>
          <w:highlight w:val="none"/>
          <w:lang w:eastAsia="zh-CN"/>
        </w:rPr>
        <w:t>公务用车。</w:t>
      </w:r>
    </w:p>
    <w:p w14:paraId="29A2F073">
      <w:pPr>
        <w:pStyle w:val="15"/>
        <w:spacing w:line="600" w:lineRule="exact"/>
        <w:ind w:firstLine="643" w:firstLineChars="200"/>
        <w:rPr>
          <w:rFonts w:ascii="楷体" w:hAnsi="楷体" w:eastAsia="楷体" w:cs="楷体"/>
          <w:b/>
          <w:sz w:val="32"/>
          <w:szCs w:val="32"/>
          <w:highlight w:val="none"/>
        </w:rPr>
      </w:pPr>
      <w:r>
        <w:rPr>
          <w:rFonts w:hint="eastAsia" w:ascii="楷体" w:hAnsi="楷体" w:eastAsia="楷体" w:cs="楷体"/>
          <w:b/>
          <w:sz w:val="32"/>
          <w:szCs w:val="32"/>
          <w:highlight w:val="none"/>
        </w:rPr>
        <w:t>（二）“三公”经费财政拨款支出决算具体情况说明</w:t>
      </w:r>
    </w:p>
    <w:p w14:paraId="51D9A376">
      <w:pPr>
        <w:pStyle w:val="15"/>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年度“三公”经费财政拨款支出决算中，公务接待费支出决算</w:t>
      </w:r>
      <w:r>
        <w:rPr>
          <w:rFonts w:hint="eastAsia" w:ascii="Times New Roman" w:hAnsi="Times New Roman" w:eastAsia="仿宋_GB2312"/>
          <w:sz w:val="32"/>
          <w:szCs w:val="32"/>
          <w:highlight w:val="none"/>
          <w:lang w:val="en-US" w:eastAsia="zh-CN"/>
        </w:rPr>
        <w:t>35.23</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因公出国（境）费支出决算</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公务用车购置费及运行维护费支出决算</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%。其中：</w:t>
      </w:r>
    </w:p>
    <w:p w14:paraId="29A0C7F2">
      <w:pPr>
        <w:pStyle w:val="15"/>
        <w:spacing w:line="600" w:lineRule="exact"/>
        <w:ind w:firstLine="800" w:firstLineChars="250"/>
        <w:rPr>
          <w:rFonts w:hint="eastAsia" w:ascii="楷体" w:hAnsi="楷体" w:eastAsia="仿宋_GB2312" w:cs="楷体"/>
          <w:b/>
          <w:bCs/>
          <w:i/>
          <w:color w:val="auto"/>
          <w:sz w:val="32"/>
          <w:szCs w:val="32"/>
          <w:highlight w:val="none"/>
          <w:lang w:eastAsia="zh-CN"/>
        </w:rPr>
      </w:pPr>
      <w:r>
        <w:rPr>
          <w:rFonts w:hint="eastAsia" w:ascii="Times New Roman" w:hAnsi="Times New Roman" w:eastAsia="仿宋_GB2312"/>
          <w:sz w:val="32"/>
          <w:szCs w:val="32"/>
          <w:highlight w:val="none"/>
        </w:rPr>
        <w:t>1、因公出国（境）费支出决算为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万元，全年安排因公出国（境）团组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个，累计</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人次</w:t>
      </w:r>
      <w:r>
        <w:rPr>
          <w:rFonts w:hint="eastAsia" w:ascii="Times New Roman" w:hAnsi="Times New Roman" w:eastAsia="仿宋_GB2312"/>
          <w:sz w:val="32"/>
          <w:szCs w:val="32"/>
          <w:highlight w:val="none"/>
          <w:lang w:eastAsia="zh-CN"/>
        </w:rPr>
        <w:t>。</w:t>
      </w:r>
    </w:p>
    <w:p w14:paraId="10C9EFC7">
      <w:pPr>
        <w:pStyle w:val="15"/>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2、公务接待费支出决算为</w:t>
      </w:r>
      <w:r>
        <w:rPr>
          <w:rFonts w:hint="eastAsia" w:ascii="Times New Roman" w:hAnsi="Times New Roman" w:eastAsia="仿宋_GB2312"/>
          <w:sz w:val="32"/>
          <w:szCs w:val="32"/>
          <w:highlight w:val="none"/>
          <w:lang w:val="en-US" w:eastAsia="zh-CN"/>
        </w:rPr>
        <w:t>35.23</w:t>
      </w:r>
      <w:r>
        <w:rPr>
          <w:rFonts w:hint="eastAsia" w:ascii="Times New Roman" w:hAnsi="Times New Roman" w:eastAsia="仿宋_GB2312"/>
          <w:sz w:val="32"/>
          <w:szCs w:val="32"/>
          <w:highlight w:val="none"/>
        </w:rPr>
        <w:t>万元，全年共接待来访团组</w:t>
      </w:r>
      <w:r>
        <w:rPr>
          <w:rFonts w:hint="eastAsia" w:ascii="Times New Roman" w:hAnsi="Times New Roman" w:eastAsia="仿宋_GB2312"/>
          <w:sz w:val="32"/>
          <w:szCs w:val="32"/>
          <w:highlight w:val="none"/>
          <w:lang w:val="en-US" w:eastAsia="zh-CN"/>
        </w:rPr>
        <w:t>607</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2706</w:t>
      </w:r>
      <w:r>
        <w:rPr>
          <w:rFonts w:hint="eastAsia" w:ascii="Times New Roman" w:hAnsi="Times New Roman" w:eastAsia="仿宋_GB2312"/>
          <w:sz w:val="32"/>
          <w:szCs w:val="32"/>
          <w:highlight w:val="none"/>
        </w:rPr>
        <w:t>人次，主要是</w:t>
      </w:r>
      <w:r>
        <w:rPr>
          <w:rFonts w:hint="eastAsia" w:ascii="仿宋_GB2312" w:hAnsi="仿宋_GB2312" w:eastAsia="仿宋_GB2312" w:cs="仿宋_GB2312"/>
          <w:sz w:val="32"/>
          <w:szCs w:val="32"/>
          <w:highlight w:val="none"/>
          <w:lang w:eastAsia="zh-CN"/>
        </w:rPr>
        <w:t>上级部门督查及区县级之间的交流接待</w:t>
      </w:r>
      <w:r>
        <w:rPr>
          <w:rFonts w:hint="eastAsia" w:ascii="Times New Roman" w:hAnsi="Times New Roman" w:eastAsia="仿宋_GB2312"/>
          <w:sz w:val="32"/>
          <w:szCs w:val="32"/>
          <w:highlight w:val="none"/>
        </w:rPr>
        <w:t>发生的接待支出。</w:t>
      </w:r>
    </w:p>
    <w:p w14:paraId="5C795460">
      <w:pPr>
        <w:spacing w:line="600" w:lineRule="exact"/>
        <w:ind w:firstLine="800" w:firstLineChars="250"/>
        <w:rPr>
          <w:rFonts w:ascii="楷体" w:hAnsi="楷体" w:eastAsia="楷体" w:cs="楷体"/>
          <w:b/>
          <w:bCs/>
          <w:i/>
          <w:color w:val="FF0000"/>
          <w:kern w:val="0"/>
          <w:sz w:val="32"/>
          <w:szCs w:val="32"/>
          <w:highlight w:val="none"/>
        </w:rPr>
      </w:pPr>
      <w:r>
        <w:rPr>
          <w:rFonts w:hint="eastAsia" w:ascii="Times New Roman" w:hAnsi="Times New Roman" w:eastAsia="仿宋_GB2312"/>
          <w:sz w:val="32"/>
          <w:szCs w:val="32"/>
          <w:highlight w:val="none"/>
        </w:rPr>
        <w:t>3、公务用车购置费及运行维护费支出决算为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万元，其中：截止</w:t>
      </w: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年12月31日，我单位开支财政拨款的公务用车保有量为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p>
    <w:p w14:paraId="117F34F4">
      <w:pPr>
        <w:pStyle w:val="15"/>
        <w:spacing w:line="600" w:lineRule="exact"/>
        <w:ind w:firstLine="640" w:firstLineChars="200"/>
        <w:rPr>
          <w:rFonts w:hAnsi="黑体"/>
          <w:bCs/>
          <w:sz w:val="32"/>
          <w:szCs w:val="32"/>
          <w:highlight w:val="none"/>
        </w:rPr>
      </w:pPr>
      <w:r>
        <w:rPr>
          <w:rFonts w:hint="eastAsia" w:hAnsi="黑体"/>
          <w:bCs/>
          <w:sz w:val="32"/>
          <w:szCs w:val="32"/>
          <w:highlight w:val="none"/>
        </w:rPr>
        <w:t>八、政府性基金预算收入支出决算情况</w:t>
      </w:r>
    </w:p>
    <w:p w14:paraId="4D5ABBB9">
      <w:pPr>
        <w:pStyle w:val="15"/>
        <w:spacing w:line="600" w:lineRule="exact"/>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年度政府性基金预算财政拨款收入</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万元；年初结转和结余</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万元；支出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万元，其中基本支出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万元，项目支出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万元；年末结转和结余</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万元。具体情况如下：</w:t>
      </w:r>
    </w:p>
    <w:p w14:paraId="5FBB60B6">
      <w:pPr>
        <w:pStyle w:val="15"/>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1、其他支出（类）彩票公益金安排的支出（款）用于社会福利的彩票公益金支出（项）。</w:t>
      </w:r>
    </w:p>
    <w:p w14:paraId="5956731E">
      <w:pPr>
        <w:pStyle w:val="15"/>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决算数与年初预算数持平。</w:t>
      </w:r>
    </w:p>
    <w:p w14:paraId="62C27F91">
      <w:pPr>
        <w:pStyle w:val="15"/>
        <w:spacing w:line="60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九、关于机关运行经费支出说明</w:t>
      </w:r>
    </w:p>
    <w:p w14:paraId="0BBF7F82">
      <w:pPr>
        <w:pStyle w:val="15"/>
        <w:spacing w:line="600" w:lineRule="exact"/>
        <w:ind w:firstLine="640"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年本部门机关本级及下设的22个镇街道教育管理中心、2所初级中学、1所特殊教育学校、1所公办中心幼儿园，共计26二级预算单位运行经费支出决算为5795.41万元，同比</w:t>
      </w:r>
      <w:r>
        <w:rPr>
          <w:rFonts w:hint="eastAsia" w:ascii="仿宋_GB2312" w:hAnsi="仿宋_GB2312" w:eastAsia="仿宋_GB2312" w:cs="仿宋_GB2312"/>
          <w:sz w:val="32"/>
          <w:szCs w:val="32"/>
          <w:highlight w:val="none"/>
          <w:lang w:val="en-US" w:eastAsia="zh-CN"/>
        </w:rPr>
        <w:t>年初预算1002.09万元增加5609.81</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增加559.81</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单位运行经费年初预算未包含</w:t>
      </w:r>
      <w:r>
        <w:rPr>
          <w:rFonts w:hint="eastAsia" w:ascii="仿宋_GB2312" w:hAnsi="仿宋_GB2312" w:eastAsia="仿宋_GB2312" w:cs="仿宋_GB2312"/>
          <w:sz w:val="32"/>
          <w:szCs w:val="32"/>
          <w:highlight w:val="none"/>
          <w:lang w:eastAsia="zh-CN"/>
        </w:rPr>
        <w:t>下设22个镇街道教育管理中心、2所初级中学、1所特殊教育学校、1所公办中心幼儿园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2790206B">
      <w:pPr>
        <w:pStyle w:val="15"/>
        <w:spacing w:line="600" w:lineRule="exact"/>
        <w:ind w:firstLine="640" w:firstLineChars="200"/>
        <w:rPr>
          <w:rFonts w:hAnsi="黑体"/>
          <w:bCs/>
          <w:sz w:val="32"/>
          <w:szCs w:val="32"/>
          <w:highlight w:val="none"/>
        </w:rPr>
      </w:pPr>
      <w:r>
        <w:rPr>
          <w:rFonts w:hint="eastAsia" w:hAnsi="黑体"/>
          <w:bCs/>
          <w:sz w:val="32"/>
          <w:szCs w:val="32"/>
          <w:highlight w:val="none"/>
        </w:rPr>
        <w:t>十、一般性支出情况说明</w:t>
      </w:r>
    </w:p>
    <w:p w14:paraId="11037EA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黑体"/>
          <w:color w:val="000000"/>
          <w:kern w:val="0"/>
          <w:sz w:val="32"/>
          <w:szCs w:val="32"/>
          <w:highlight w:val="none"/>
          <w:lang w:val="en-US" w:eastAsia="zh-CN" w:bidi="ar-SA"/>
        </w:rPr>
        <w:t>2023年本部门开支会议费14.98万元，用于召开教育教学工作会议，人数为6千余人，内容为推进祁阳市教育教学发展工作会；开支培训费305.95万元，人数为7千余人，内容为提升管理能力及业务能力相关培训。无举办节庆、晚会、论坛、赛事活动开支。</w:t>
      </w:r>
    </w:p>
    <w:p w14:paraId="36738764">
      <w:pPr>
        <w:pStyle w:val="15"/>
        <w:spacing w:line="600" w:lineRule="exact"/>
        <w:ind w:firstLine="640" w:firstLineChars="200"/>
        <w:rPr>
          <w:rFonts w:hAnsi="黑体"/>
          <w:bCs/>
          <w:sz w:val="32"/>
          <w:szCs w:val="32"/>
          <w:highlight w:val="none"/>
        </w:rPr>
      </w:pPr>
      <w:r>
        <w:rPr>
          <w:rFonts w:hint="eastAsia" w:hAnsi="黑体"/>
          <w:bCs/>
          <w:sz w:val="32"/>
          <w:szCs w:val="32"/>
          <w:highlight w:val="none"/>
        </w:rPr>
        <w:t>十一、关于政府采购支出说明</w:t>
      </w:r>
    </w:p>
    <w:p w14:paraId="3E995C57">
      <w:pPr>
        <w:pStyle w:val="15"/>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本部门</w:t>
      </w: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4070.47</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351.39</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3719.08</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4070.47</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sz w:val="32"/>
          <w:szCs w:val="32"/>
          <w:highlight w:val="none"/>
        </w:rPr>
        <w:t>货物采购授予中小企业合同金额占货物支出金额的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%，工程采购授予中小企业合同金额占工程支出金额的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%，服务采购授予中小企业合同金额占服务支出金额的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p>
    <w:p w14:paraId="4D189474">
      <w:pPr>
        <w:pStyle w:val="15"/>
        <w:spacing w:line="600" w:lineRule="exact"/>
        <w:ind w:firstLine="640" w:firstLineChars="200"/>
        <w:rPr>
          <w:rFonts w:hAnsi="黑体"/>
          <w:bCs/>
          <w:sz w:val="32"/>
          <w:szCs w:val="32"/>
          <w:highlight w:val="none"/>
        </w:rPr>
      </w:pPr>
      <w:r>
        <w:rPr>
          <w:rFonts w:hint="eastAsia" w:hAnsi="黑体"/>
          <w:bCs/>
          <w:sz w:val="32"/>
          <w:szCs w:val="32"/>
          <w:highlight w:val="none"/>
        </w:rPr>
        <w:t>十二、关于国有资产占用情况说明</w:t>
      </w:r>
    </w:p>
    <w:p w14:paraId="0FA52DA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sz w:val="32"/>
          <w:szCs w:val="32"/>
          <w:highlight w:val="none"/>
        </w:rPr>
        <w:t>截至</w:t>
      </w:r>
      <w:r>
        <w:rPr>
          <w:rFonts w:hint="eastAsia" w:ascii="Times New Roman" w:hAnsi="Times New Roman" w:eastAsia="仿宋_GB2312"/>
          <w:sz w:val="32"/>
          <w:szCs w:val="32"/>
          <w:highlight w:val="none"/>
          <w:lang w:eastAsia="zh-CN"/>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年12月31日，本单位共有车辆</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辆，其中，主要领导干部用车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机要通信用车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辆、应急保障用车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辆、执法执勤用车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辆、特种专业技术用车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离退休干部服务用车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辆、其他用车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sz w:val="32"/>
          <w:szCs w:val="32"/>
          <w:highlight w:val="none"/>
        </w:rPr>
        <w:t>单位价值50万元以上通用设备</w:t>
      </w:r>
      <w:r>
        <w:rPr>
          <w:rFonts w:hint="eastAsia" w:ascii="Times New Roman" w:hAnsi="Times New Roman" w:eastAsia="仿宋_GB2312"/>
          <w:color w:val="auto"/>
          <w:sz w:val="32"/>
          <w:szCs w:val="32"/>
          <w:highlight w:val="none"/>
          <w:lang w:eastAsia="zh-CN"/>
        </w:rPr>
        <w:t>（不含车辆）</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台（套）；</w:t>
      </w:r>
      <w:r>
        <w:rPr>
          <w:rFonts w:hint="eastAsia" w:ascii="Times New Roman" w:hAnsi="Times New Roman" w:eastAsia="仿宋_GB2312"/>
          <w:color w:val="auto"/>
          <w:sz w:val="32"/>
          <w:szCs w:val="32"/>
          <w:highlight w:val="none"/>
        </w:rPr>
        <w:t>单位价值100万元以上</w:t>
      </w:r>
      <w:r>
        <w:rPr>
          <w:rFonts w:hint="eastAsia" w:ascii="Times New Roman" w:hAnsi="Times New Roman" w:eastAsia="仿宋_GB2312"/>
          <w:color w:val="auto"/>
          <w:sz w:val="32"/>
          <w:szCs w:val="32"/>
          <w:highlight w:val="none"/>
          <w:lang w:eastAsia="zh-CN"/>
        </w:rPr>
        <w:t>专用</w:t>
      </w:r>
      <w:r>
        <w:rPr>
          <w:rFonts w:hint="eastAsia" w:ascii="Times New Roman" w:hAnsi="Times New Roman" w:eastAsia="仿宋_GB2312"/>
          <w:color w:val="auto"/>
          <w:sz w:val="32"/>
          <w:szCs w:val="32"/>
          <w:highlight w:val="none"/>
        </w:rPr>
        <w:t>设备</w:t>
      </w:r>
      <w:r>
        <w:rPr>
          <w:rFonts w:hint="eastAsia" w:ascii="Times New Roman" w:hAnsi="Times New Roman" w:eastAsia="仿宋_GB2312"/>
          <w:color w:val="auto"/>
          <w:sz w:val="32"/>
          <w:szCs w:val="32"/>
          <w:highlight w:val="none"/>
          <w:lang w:eastAsia="zh-CN"/>
        </w:rPr>
        <w:t>（不含车辆）</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台（套）。</w:t>
      </w:r>
    </w:p>
    <w:p w14:paraId="4EA78E0D">
      <w:pPr>
        <w:pStyle w:val="15"/>
        <w:spacing w:line="600" w:lineRule="exact"/>
        <w:ind w:firstLine="640" w:firstLineChars="200"/>
        <w:rPr>
          <w:rFonts w:hAnsi="黑体"/>
          <w:bCs/>
          <w:sz w:val="32"/>
          <w:szCs w:val="32"/>
          <w:highlight w:val="none"/>
        </w:rPr>
      </w:pPr>
      <w:r>
        <w:rPr>
          <w:rFonts w:hint="eastAsia" w:hAnsi="黑体"/>
          <w:bCs/>
          <w:sz w:val="32"/>
          <w:szCs w:val="32"/>
          <w:highlight w:val="none"/>
        </w:rPr>
        <w:t>十三、关于</w:t>
      </w:r>
      <w:r>
        <w:rPr>
          <w:rFonts w:hint="eastAsia" w:hAnsi="黑体"/>
          <w:bCs/>
          <w:sz w:val="32"/>
          <w:szCs w:val="32"/>
          <w:highlight w:val="none"/>
          <w:lang w:eastAsia="zh-CN"/>
        </w:rPr>
        <w:t>2023</w:t>
      </w:r>
      <w:r>
        <w:rPr>
          <w:rFonts w:hint="eastAsia" w:hAnsi="黑体"/>
          <w:bCs/>
          <w:sz w:val="32"/>
          <w:szCs w:val="32"/>
          <w:highlight w:val="none"/>
        </w:rPr>
        <w:t>年度预算绩效情况的说明</w:t>
      </w:r>
    </w:p>
    <w:p w14:paraId="1CF2730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纳入</w:t>
      </w: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eastAsia="zh-CN"/>
        </w:rPr>
        <w:t>度</w:t>
      </w:r>
      <w:r>
        <w:rPr>
          <w:rFonts w:hint="eastAsia" w:ascii="Times New Roman" w:hAnsi="Times New Roman" w:eastAsia="仿宋_GB2312"/>
          <w:sz w:val="32"/>
          <w:szCs w:val="32"/>
          <w:highlight w:val="none"/>
        </w:rPr>
        <w:t>部门整体支出绩效目标的金额为110335.32万元，其中，基本支出95191.18万元，项目支出15144.14万元，</w:t>
      </w:r>
      <w:r>
        <w:rPr>
          <w:rFonts w:hint="eastAsia" w:ascii="Times New Roman" w:hAnsi="Times New Roman" w:eastAsia="仿宋_GB2312"/>
          <w:sz w:val="32"/>
          <w:szCs w:val="32"/>
          <w:highlight w:val="none"/>
          <w:lang w:val="en-US" w:eastAsia="zh-CN"/>
        </w:rPr>
        <w:t>本年度本部门无重点项目支出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为常规性项目支出，具体内容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14:paraId="0F895EC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br w:type="page"/>
      </w:r>
    </w:p>
    <w:p w14:paraId="01551507">
      <w:pPr>
        <w:pStyle w:val="15"/>
        <w:jc w:val="center"/>
        <w:rPr>
          <w:sz w:val="72"/>
          <w:szCs w:val="72"/>
          <w:highlight w:val="none"/>
        </w:rPr>
      </w:pPr>
    </w:p>
    <w:p w14:paraId="336BB53D">
      <w:pPr>
        <w:pStyle w:val="15"/>
        <w:jc w:val="center"/>
        <w:rPr>
          <w:sz w:val="72"/>
          <w:szCs w:val="72"/>
          <w:highlight w:val="none"/>
        </w:rPr>
      </w:pPr>
    </w:p>
    <w:p w14:paraId="28C10885">
      <w:pPr>
        <w:pStyle w:val="15"/>
        <w:jc w:val="center"/>
        <w:rPr>
          <w:sz w:val="72"/>
          <w:szCs w:val="72"/>
          <w:highlight w:val="none"/>
        </w:rPr>
      </w:pPr>
    </w:p>
    <w:p w14:paraId="2DC2F88F">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第四部分</w:t>
      </w:r>
    </w:p>
    <w:p w14:paraId="70BA2E53">
      <w:pPr>
        <w:jc w:val="center"/>
        <w:rPr>
          <w:rFonts w:hint="eastAsia" w:ascii="方正小标宋_GBK" w:hAnsi="方正小标宋_GBK" w:eastAsia="方正小标宋_GBK" w:cs="方正小标宋_GBK"/>
          <w:color w:val="000000"/>
          <w:kern w:val="0"/>
          <w:sz w:val="84"/>
          <w:szCs w:val="84"/>
          <w:highlight w:val="none"/>
        </w:rPr>
      </w:pPr>
    </w:p>
    <w:p w14:paraId="1F63005A">
      <w:pPr>
        <w:jc w:val="center"/>
        <w:rPr>
          <w:rFonts w:hint="eastAsia" w:ascii="方正小标宋_GBK" w:hAnsi="方正小标宋_GBK" w:eastAsia="方正小标宋_GBK" w:cs="方正小标宋_GBK"/>
          <w:color w:val="000000"/>
          <w:kern w:val="0"/>
          <w:sz w:val="84"/>
          <w:szCs w:val="84"/>
          <w:highlight w:val="none"/>
        </w:rPr>
      </w:pPr>
      <w:r>
        <w:rPr>
          <w:rFonts w:hint="eastAsia" w:ascii="方正小标宋_GBK" w:hAnsi="方正小标宋_GBK" w:eastAsia="方正小标宋_GBK" w:cs="方正小标宋_GBK"/>
          <w:color w:val="000000"/>
          <w:kern w:val="0"/>
          <w:sz w:val="84"/>
          <w:szCs w:val="84"/>
          <w:highlight w:val="none"/>
        </w:rPr>
        <w:t>名词解释</w:t>
      </w:r>
    </w:p>
    <w:p w14:paraId="070F1763">
      <w:pPr>
        <w:pStyle w:val="2"/>
        <w:jc w:val="center"/>
        <w:rPr>
          <w:rFonts w:hint="eastAsia" w:ascii="方正小标宋_GBK" w:hAnsi="方正小标宋_GBK" w:eastAsia="方正小标宋_GBK" w:cs="方正小标宋_GBK"/>
          <w:color w:val="000000"/>
          <w:kern w:val="0"/>
          <w:sz w:val="72"/>
          <w:szCs w:val="72"/>
          <w:highlight w:val="none"/>
        </w:rPr>
      </w:pPr>
    </w:p>
    <w:p w14:paraId="1D7D9EF2">
      <w:pPr>
        <w:pStyle w:val="5"/>
        <w:ind w:left="0" w:leftChars="0" w:firstLine="0" w:firstLineChars="0"/>
        <w:jc w:val="center"/>
        <w:rPr>
          <w:rFonts w:hint="eastAsia" w:ascii="方正小标宋_GBK" w:hAnsi="方正小标宋_GBK" w:eastAsia="方正小标宋_GBK" w:cs="方正小标宋_GBK"/>
          <w:color w:val="000000"/>
          <w:kern w:val="0"/>
          <w:sz w:val="72"/>
          <w:szCs w:val="72"/>
          <w:highlight w:val="none"/>
        </w:rPr>
      </w:pPr>
    </w:p>
    <w:p w14:paraId="4A5CCBB7">
      <w:pPr>
        <w:jc w:val="center"/>
        <w:rPr>
          <w:rFonts w:hint="eastAsia"/>
          <w:sz w:val="72"/>
          <w:szCs w:val="72"/>
          <w:highlight w:val="none"/>
        </w:rPr>
      </w:pPr>
    </w:p>
    <w:p w14:paraId="3843949F">
      <w:pPr>
        <w:widowControl/>
        <w:jc w:val="left"/>
        <w:rPr>
          <w:rFonts w:hint="eastAsia" w:ascii="Times New Roman" w:hAnsi="Times New Roman" w:eastAsia="仿宋_GB2312" w:cs="黑体"/>
          <w:color w:val="000000"/>
          <w:sz w:val="32"/>
          <w:szCs w:val="32"/>
          <w:highlight w:val="none"/>
          <w:lang w:eastAsia="zh-CN"/>
        </w:rPr>
      </w:pPr>
      <w:r>
        <w:rPr>
          <w:rFonts w:hint="eastAsia" w:ascii="方正小标宋_GBK" w:hAnsi="方正小标宋_GBK" w:eastAsia="方正小标宋_GBK" w:cs="方正小标宋_GBK"/>
          <w:color w:val="000000"/>
          <w:kern w:val="0"/>
          <w:sz w:val="70"/>
          <w:szCs w:val="70"/>
          <w:highlight w:val="none"/>
        </w:rPr>
        <w:br w:type="page"/>
      </w:r>
    </w:p>
    <w:p w14:paraId="1A86D9B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lang w:eastAsia="zh-CN"/>
        </w:rPr>
        <w:t>一、</w:t>
      </w:r>
      <w:r>
        <w:rPr>
          <w:rFonts w:hint="eastAsia" w:ascii="Times New Roman" w:hAnsi="Times New Roman" w:eastAsia="仿宋_GB2312" w:cs="黑体"/>
          <w:color w:val="000000"/>
          <w:sz w:val="32"/>
          <w:szCs w:val="32"/>
          <w:highlight w:val="none"/>
        </w:rPr>
        <w:t>收入科目</w:t>
      </w:r>
    </w:p>
    <w:p w14:paraId="68CC6065">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1、财政拨款收入：指财政当年拨付的资金。</w:t>
      </w:r>
    </w:p>
    <w:p w14:paraId="46E1130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2、事业收入：指事业单位开展专业业务活动及辅助活动取得的收入。</w:t>
      </w:r>
    </w:p>
    <w:p w14:paraId="73AD100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3、经营收入：指事业单位在专业业务活动及其辅助活动之外开展非独立核算经营活动取得的收入。</w:t>
      </w:r>
    </w:p>
    <w:p w14:paraId="7F596993">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4、其他收入：指除上述“财政拨款收入”、“事业收入”、“经营收入”等以外的收入。</w:t>
      </w:r>
    </w:p>
    <w:p w14:paraId="145D8F11">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6、上年结转：指以前年尚未完成、结转到本年按有关规定继续使用的资金。</w:t>
      </w:r>
    </w:p>
    <w:p w14:paraId="50053C02">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lang w:eastAsia="zh-CN"/>
        </w:rPr>
        <w:t>二、</w:t>
      </w:r>
      <w:r>
        <w:rPr>
          <w:rFonts w:hint="eastAsia" w:ascii="Times New Roman" w:hAnsi="Times New Roman" w:eastAsia="仿宋_GB2312" w:cs="黑体"/>
          <w:color w:val="000000"/>
          <w:sz w:val="32"/>
          <w:szCs w:val="32"/>
          <w:highlight w:val="none"/>
        </w:rPr>
        <w:t>支出科目</w:t>
      </w:r>
    </w:p>
    <w:p w14:paraId="0039DA2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1、基本支出：是为保障其机构正常运转、完成日常工作任务而发生人员支出和公用支出。</w:t>
      </w:r>
    </w:p>
    <w:p w14:paraId="161DB963">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2、项目支出：是指在基本支出之外完成特定行政任务和事业发展目标所发生的支出。</w:t>
      </w:r>
    </w:p>
    <w:p w14:paraId="598ABA89">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3、工资福利支出：反映单位开支的在职职工和编制外长期聘用人员的各类劳动报酬，以及为上述人员缴纳的各项社会保险费等。</w:t>
      </w:r>
    </w:p>
    <w:p w14:paraId="2D701E33">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4、商品和服务支出：反映单位购买商品和服务的支出。</w:t>
      </w:r>
    </w:p>
    <w:p w14:paraId="6B710D98">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lang w:val="en-US" w:eastAsia="zh-CN"/>
        </w:rPr>
        <w:t>5</w:t>
      </w:r>
      <w:r>
        <w:rPr>
          <w:rFonts w:hint="eastAsia" w:ascii="Times New Roman" w:hAnsi="Times New Roman" w:eastAsia="仿宋_GB2312" w:cs="黑体"/>
          <w:color w:val="000000"/>
          <w:sz w:val="32"/>
          <w:szCs w:val="32"/>
          <w:highlight w:val="none"/>
        </w:rPr>
        <w:t>、对个人和家庭的补助：反映单位用于对个人和家庭的补助支出。</w:t>
      </w:r>
    </w:p>
    <w:p w14:paraId="5544F664">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lang w:eastAsia="zh-CN"/>
        </w:rPr>
        <w:t>三、</w:t>
      </w:r>
      <w:r>
        <w:rPr>
          <w:rFonts w:hint="eastAsia" w:ascii="Times New Roman" w:hAnsi="Times New Roman" w:eastAsia="仿宋_GB2312" w:cs="黑体"/>
          <w:color w:val="000000"/>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lang w:eastAsia="zh-CN"/>
        </w:rPr>
        <w:t>四、</w:t>
      </w:r>
      <w:r>
        <w:rPr>
          <w:rFonts w:hint="eastAsia" w:ascii="Times New Roman" w:hAnsi="Times New Roman" w:eastAsia="仿宋_GB2312" w:cs="黑体"/>
          <w:color w:val="000000"/>
          <w:sz w:val="32"/>
          <w:szCs w:val="32"/>
          <w:highlight w:val="none"/>
        </w:rPr>
        <w:t>“三公”经费科目</w:t>
      </w:r>
    </w:p>
    <w:p w14:paraId="322B166A">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1、因公出国（境）费用：反映单位公务出国（境）的国际旅费、国内城市间交通费、住宿费、伙食费、培训费、公杂费等支出。</w:t>
      </w:r>
    </w:p>
    <w:p w14:paraId="44CDE29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仿宋_GB2312" w:eastAsia="仿宋_GB2312" w:cs="Times New Roman"/>
          <w:color w:val="333333"/>
          <w:kern w:val="2"/>
          <w:sz w:val="32"/>
          <w:szCs w:val="32"/>
          <w:highlight w:val="none"/>
        </w:rPr>
        <w:t>2</w:t>
      </w:r>
      <w:r>
        <w:rPr>
          <w:rFonts w:hint="eastAsia" w:ascii="Times New Roman" w:hAnsi="Times New Roman" w:eastAsia="仿宋_GB2312" w:cs="黑体"/>
          <w:color w:val="000000"/>
          <w:sz w:val="32"/>
          <w:szCs w:val="32"/>
          <w:highlight w:val="none"/>
        </w:rPr>
        <w:t>、公务接待费：反映单位按规定开支的各类公务接待（含外宾接待）费用。</w:t>
      </w:r>
    </w:p>
    <w:p w14:paraId="02B2E06C">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highlight w:val="none"/>
        </w:rPr>
      </w:pPr>
      <w:r>
        <w:rPr>
          <w:rFonts w:hint="eastAsia" w:ascii="Times New Roman" w:hAnsi="Times New Roman" w:eastAsia="仿宋_GB2312" w:cs="黑体"/>
          <w:color w:val="000000"/>
          <w:sz w:val="32"/>
          <w:szCs w:val="32"/>
          <w:highlight w:val="none"/>
        </w:rPr>
        <w:t>3、</w:t>
      </w:r>
      <w:r>
        <w:rPr>
          <w:rFonts w:eastAsia="仿宋_GB2312"/>
          <w:sz w:val="32"/>
          <w:szCs w:val="32"/>
          <w:highlight w:val="none"/>
        </w:rPr>
        <w:t>公务用车购置及</w:t>
      </w:r>
      <w:r>
        <w:rPr>
          <w:rFonts w:hint="eastAsia" w:ascii="Times New Roman" w:hAnsi="Times New Roman" w:eastAsia="仿宋_GB2312" w:cs="黑体"/>
          <w:color w:val="000000"/>
          <w:sz w:val="32"/>
          <w:szCs w:val="32"/>
          <w:highlight w:val="none"/>
        </w:rPr>
        <w:t>运行维护费：反映</w:t>
      </w:r>
      <w:r>
        <w:rPr>
          <w:rFonts w:eastAsia="仿宋_GB2312"/>
          <w:sz w:val="32"/>
          <w:szCs w:val="32"/>
          <w:highlight w:val="none"/>
        </w:rPr>
        <w:t>单位公务用车车辆购置支出（含车辆购置税），以及燃料费、维修费、</w:t>
      </w:r>
      <w:r>
        <w:rPr>
          <w:rFonts w:hint="eastAsia" w:ascii="Times New Roman" w:hAnsi="Times New Roman" w:eastAsia="仿宋_GB2312" w:cs="黑体"/>
          <w:color w:val="000000"/>
          <w:sz w:val="32"/>
          <w:szCs w:val="32"/>
          <w:highlight w:val="none"/>
        </w:rPr>
        <w:t>过路过桥费、保险费等支出。</w:t>
      </w:r>
    </w:p>
    <w:p w14:paraId="2545A730">
      <w:pPr>
        <w:pStyle w:val="15"/>
        <w:jc w:val="center"/>
        <w:rPr>
          <w:rFonts w:asciiTheme="minorEastAsia" w:hAnsiTheme="minorEastAsia" w:eastAsiaTheme="minorEastAsia"/>
          <w:sz w:val="72"/>
          <w:szCs w:val="72"/>
          <w:highlight w:val="none"/>
        </w:rPr>
      </w:pPr>
    </w:p>
    <w:p w14:paraId="00F2FFCA">
      <w:pPr>
        <w:pStyle w:val="15"/>
        <w:jc w:val="center"/>
        <w:rPr>
          <w:rFonts w:asciiTheme="minorEastAsia" w:hAnsiTheme="minorEastAsia" w:eastAsiaTheme="minorEastAsia"/>
          <w:sz w:val="72"/>
          <w:szCs w:val="72"/>
          <w:highlight w:val="none"/>
        </w:rPr>
      </w:pPr>
    </w:p>
    <w:p w14:paraId="5CFC99A9">
      <w:pPr>
        <w:pStyle w:val="15"/>
        <w:jc w:val="center"/>
        <w:rPr>
          <w:rFonts w:asciiTheme="minorEastAsia" w:hAnsiTheme="minorEastAsia" w:eastAsiaTheme="minorEastAsia"/>
          <w:sz w:val="72"/>
          <w:szCs w:val="72"/>
          <w:highlight w:val="none"/>
        </w:rPr>
      </w:pPr>
    </w:p>
    <w:p w14:paraId="64EDCAFA">
      <w:pPr>
        <w:pStyle w:val="15"/>
        <w:jc w:val="center"/>
        <w:rPr>
          <w:rFonts w:asciiTheme="minorEastAsia" w:hAnsiTheme="minorEastAsia" w:eastAsiaTheme="minorEastAsia"/>
          <w:sz w:val="72"/>
          <w:szCs w:val="72"/>
          <w:highlight w:val="none"/>
        </w:rPr>
      </w:pPr>
    </w:p>
    <w:p w14:paraId="4A3F56A6">
      <w:pPr>
        <w:pStyle w:val="15"/>
        <w:jc w:val="center"/>
        <w:rPr>
          <w:rFonts w:asciiTheme="minorEastAsia" w:hAnsiTheme="minorEastAsia" w:eastAsiaTheme="minorEastAsia"/>
          <w:sz w:val="72"/>
          <w:szCs w:val="72"/>
          <w:highlight w:val="none"/>
        </w:rPr>
      </w:pPr>
    </w:p>
    <w:p w14:paraId="6B7438CC">
      <w:pPr>
        <w:pStyle w:val="15"/>
        <w:jc w:val="center"/>
        <w:rPr>
          <w:rFonts w:asciiTheme="minorEastAsia" w:hAnsiTheme="minorEastAsia" w:eastAsiaTheme="minorEastAsia"/>
          <w:sz w:val="72"/>
          <w:szCs w:val="72"/>
          <w:highlight w:val="none"/>
        </w:rPr>
      </w:pPr>
    </w:p>
    <w:p w14:paraId="0CBFA48F">
      <w:pPr>
        <w:pStyle w:val="15"/>
        <w:jc w:val="center"/>
        <w:rPr>
          <w:rFonts w:asciiTheme="minorEastAsia" w:hAnsiTheme="minorEastAsia" w:eastAsiaTheme="minorEastAsia"/>
          <w:sz w:val="72"/>
          <w:szCs w:val="72"/>
          <w:highlight w:val="none"/>
        </w:rPr>
      </w:pPr>
    </w:p>
    <w:p w14:paraId="6F0FA1CE">
      <w:pPr>
        <w:pStyle w:val="15"/>
        <w:jc w:val="center"/>
        <w:rPr>
          <w:rFonts w:asciiTheme="minorEastAsia" w:hAnsiTheme="minorEastAsia" w:eastAsiaTheme="minorEastAsia"/>
          <w:sz w:val="72"/>
          <w:szCs w:val="72"/>
          <w:highlight w:val="none"/>
        </w:rPr>
      </w:pPr>
    </w:p>
    <w:p w14:paraId="097E557C">
      <w:pPr>
        <w:pStyle w:val="15"/>
        <w:jc w:val="center"/>
        <w:rPr>
          <w:rFonts w:asciiTheme="minorEastAsia" w:hAnsiTheme="minorEastAsia" w:eastAsiaTheme="minorEastAsia"/>
          <w:sz w:val="72"/>
          <w:szCs w:val="72"/>
          <w:highlight w:val="none"/>
        </w:rPr>
      </w:pPr>
    </w:p>
    <w:p w14:paraId="7E646A4F">
      <w:pPr>
        <w:pStyle w:val="15"/>
        <w:jc w:val="center"/>
        <w:rPr>
          <w:rFonts w:hint="eastAsia" w:ascii="方正小标宋_GBK" w:hAnsi="方正小标宋_GBK" w:eastAsia="方正小标宋_GBK" w:cs="方正小标宋_GBK"/>
          <w:sz w:val="72"/>
          <w:szCs w:val="72"/>
          <w:highlight w:val="none"/>
        </w:rPr>
      </w:pPr>
    </w:p>
    <w:p w14:paraId="62D9825C">
      <w:pPr>
        <w:pStyle w:val="15"/>
        <w:jc w:val="center"/>
        <w:rPr>
          <w:rFonts w:hint="eastAsia" w:ascii="方正小标宋_GBK" w:hAnsi="方正小标宋_GBK" w:eastAsia="方正小标宋_GBK" w:cs="方正小标宋_GBK"/>
          <w:sz w:val="72"/>
          <w:szCs w:val="72"/>
          <w:highlight w:val="none"/>
        </w:rPr>
      </w:pPr>
    </w:p>
    <w:p w14:paraId="037DD2A0">
      <w:pPr>
        <w:pStyle w:val="15"/>
        <w:jc w:val="center"/>
        <w:rPr>
          <w:rFonts w:hint="eastAsia" w:ascii="方正小标宋_GBK" w:hAnsi="方正小标宋_GBK" w:eastAsia="方正小标宋_GBK" w:cs="方正小标宋_GBK"/>
          <w:sz w:val="72"/>
          <w:szCs w:val="72"/>
          <w:highlight w:val="none"/>
        </w:rPr>
      </w:pPr>
    </w:p>
    <w:p w14:paraId="32031829">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第</w:t>
      </w:r>
      <w:r>
        <w:rPr>
          <w:rFonts w:hint="eastAsia" w:ascii="方正小标宋_GBK" w:hAnsi="方正小标宋_GBK" w:eastAsia="方正小标宋_GBK" w:cs="方正小标宋_GBK"/>
          <w:sz w:val="84"/>
          <w:szCs w:val="84"/>
          <w:highlight w:val="none"/>
          <w:lang w:eastAsia="zh-CN"/>
        </w:rPr>
        <w:t>五</w:t>
      </w:r>
      <w:r>
        <w:rPr>
          <w:rFonts w:hint="eastAsia" w:ascii="方正小标宋_GBK" w:hAnsi="方正小标宋_GBK" w:eastAsia="方正小标宋_GBK" w:cs="方正小标宋_GBK"/>
          <w:sz w:val="84"/>
          <w:szCs w:val="84"/>
          <w:highlight w:val="none"/>
        </w:rPr>
        <w:t>部分</w:t>
      </w:r>
    </w:p>
    <w:p w14:paraId="6AC3B7B2">
      <w:pPr>
        <w:pStyle w:val="15"/>
        <w:jc w:val="center"/>
        <w:rPr>
          <w:rFonts w:hint="eastAsia" w:ascii="方正小标宋_GBK" w:hAnsi="方正小标宋_GBK" w:eastAsia="方正小标宋_GBK" w:cs="方正小标宋_GBK"/>
          <w:sz w:val="84"/>
          <w:szCs w:val="84"/>
          <w:highlight w:val="none"/>
        </w:rPr>
      </w:pPr>
    </w:p>
    <w:p w14:paraId="50B9FADF">
      <w:pPr>
        <w:pStyle w:val="15"/>
        <w:jc w:val="center"/>
        <w:rPr>
          <w:rFonts w:hint="eastAsia" w:ascii="方正小标宋_GBK" w:hAnsi="方正小标宋_GBK" w:eastAsia="方正小标宋_GBK" w:cs="方正小标宋_GBK"/>
          <w:sz w:val="84"/>
          <w:szCs w:val="84"/>
          <w:highlight w:val="none"/>
          <w:lang w:eastAsia="zh-CN"/>
        </w:rPr>
      </w:pPr>
      <w:r>
        <w:rPr>
          <w:rFonts w:hint="eastAsia" w:ascii="方正小标宋_GBK" w:hAnsi="方正小标宋_GBK" w:eastAsia="方正小标宋_GBK" w:cs="方正小标宋_GBK"/>
          <w:sz w:val="84"/>
          <w:szCs w:val="84"/>
          <w:highlight w:val="none"/>
          <w:lang w:eastAsia="zh-CN"/>
        </w:rPr>
        <w:t>附</w:t>
      </w:r>
      <w:r>
        <w:rPr>
          <w:rFonts w:hint="eastAsia" w:ascii="方正小标宋_GBK" w:hAnsi="方正小标宋_GBK" w:eastAsia="方正小标宋_GBK" w:cs="方正小标宋_GBK"/>
          <w:sz w:val="84"/>
          <w:szCs w:val="84"/>
          <w:highlight w:val="none"/>
          <w:lang w:val="en-US" w:eastAsia="zh-CN"/>
        </w:rPr>
        <w:t xml:space="preserve"> </w:t>
      </w:r>
      <w:r>
        <w:rPr>
          <w:rFonts w:hint="eastAsia" w:ascii="方正小标宋_GBK" w:hAnsi="方正小标宋_GBK" w:eastAsia="方正小标宋_GBK" w:cs="方正小标宋_GBK"/>
          <w:sz w:val="84"/>
          <w:szCs w:val="84"/>
          <w:highlight w:val="none"/>
          <w:lang w:eastAsia="zh-CN"/>
        </w:rPr>
        <w:t>件</w:t>
      </w:r>
    </w:p>
    <w:p w14:paraId="0CC7252F">
      <w:pPr>
        <w:pStyle w:val="15"/>
        <w:jc w:val="center"/>
        <w:rPr>
          <w:rFonts w:hint="eastAsia" w:ascii="方正小标宋_GBK" w:hAnsi="方正小标宋_GBK" w:eastAsia="方正小标宋_GBK" w:cs="方正小标宋_GBK"/>
          <w:sz w:val="72"/>
          <w:szCs w:val="72"/>
          <w:highlight w:val="none"/>
          <w:lang w:eastAsia="zh-CN"/>
        </w:rPr>
      </w:pPr>
    </w:p>
    <w:p w14:paraId="04704402">
      <w:pPr>
        <w:pStyle w:val="15"/>
        <w:jc w:val="center"/>
        <w:rPr>
          <w:rFonts w:hint="eastAsia" w:ascii="方正小标宋_GBK" w:hAnsi="方正小标宋_GBK" w:eastAsia="方正小标宋_GBK" w:cs="方正小标宋_GBK"/>
          <w:sz w:val="72"/>
          <w:szCs w:val="72"/>
          <w:highlight w:val="none"/>
          <w:lang w:eastAsia="zh-CN"/>
        </w:rPr>
      </w:pPr>
    </w:p>
    <w:p w14:paraId="60A6C9FA">
      <w:pPr>
        <w:jc w:val="center"/>
        <w:rPr>
          <w:sz w:val="72"/>
          <w:szCs w:val="72"/>
          <w:highlight w:val="none"/>
        </w:rPr>
      </w:pPr>
    </w:p>
    <w:p w14:paraId="26D1299F">
      <w:pPr>
        <w:rPr>
          <w:rFonts w:hint="eastAsia" w:ascii="Times New Roman" w:hAnsi="Times New Roman" w:eastAsia="仿宋_GB2312" w:cs="黑体"/>
          <w:b w:val="0"/>
          <w:bCs/>
          <w:color w:val="000000"/>
          <w:kern w:val="0"/>
          <w:sz w:val="32"/>
          <w:szCs w:val="32"/>
          <w:highlight w:val="none"/>
        </w:rPr>
      </w:pPr>
      <w:r>
        <w:rPr>
          <w:rFonts w:hint="eastAsia" w:ascii="Times New Roman" w:hAnsi="Times New Roman" w:eastAsia="仿宋_GB2312" w:cs="黑体"/>
          <w:b/>
          <w:color w:val="000000"/>
          <w:kern w:val="0"/>
          <w:sz w:val="36"/>
          <w:szCs w:val="36"/>
          <w:highlight w:val="none"/>
        </w:rPr>
        <w:br w:type="page"/>
      </w:r>
    </w:p>
    <w:p w14:paraId="61C6350E">
      <w:pPr>
        <w:ind w:firstLine="723" w:firstLineChars="200"/>
        <w:jc w:val="center"/>
        <w:rPr>
          <w:rFonts w:hint="eastAsia" w:ascii="Times New Roman" w:hAnsi="Times New Roman" w:eastAsia="仿宋_GB2312" w:cs="黑体"/>
          <w:b/>
          <w:color w:val="000000"/>
          <w:kern w:val="0"/>
          <w:sz w:val="36"/>
          <w:szCs w:val="36"/>
          <w:highlight w:val="none"/>
        </w:rPr>
      </w:pPr>
      <w:r>
        <w:rPr>
          <w:rFonts w:hint="eastAsia" w:ascii="Times New Roman" w:hAnsi="Times New Roman" w:eastAsia="仿宋_GB2312" w:cs="黑体"/>
          <w:b/>
          <w:color w:val="000000"/>
          <w:kern w:val="0"/>
          <w:sz w:val="36"/>
          <w:szCs w:val="36"/>
          <w:highlight w:val="none"/>
          <w:lang w:eastAsia="zh-CN"/>
        </w:rPr>
        <w:t>2023</w:t>
      </w:r>
      <w:r>
        <w:rPr>
          <w:rFonts w:hint="eastAsia" w:ascii="Times New Roman" w:hAnsi="Times New Roman" w:eastAsia="仿宋_GB2312" w:cs="黑体"/>
          <w:b/>
          <w:color w:val="000000"/>
          <w:kern w:val="0"/>
          <w:sz w:val="36"/>
          <w:szCs w:val="36"/>
          <w:highlight w:val="none"/>
        </w:rPr>
        <w:t>年</w:t>
      </w:r>
      <w:r>
        <w:rPr>
          <w:rFonts w:hint="eastAsia" w:ascii="Times New Roman" w:hAnsi="Times New Roman" w:eastAsia="仿宋_GB2312" w:cs="黑体"/>
          <w:b/>
          <w:color w:val="000000"/>
          <w:kern w:val="0"/>
          <w:sz w:val="36"/>
          <w:szCs w:val="36"/>
          <w:highlight w:val="none"/>
          <w:lang w:eastAsia="zh-CN"/>
        </w:rPr>
        <w:t>度</w:t>
      </w:r>
      <w:r>
        <w:rPr>
          <w:rFonts w:hint="eastAsia" w:ascii="Times New Roman" w:hAnsi="Times New Roman" w:eastAsia="仿宋_GB2312" w:cs="黑体"/>
          <w:b/>
          <w:color w:val="000000"/>
          <w:kern w:val="0"/>
          <w:sz w:val="36"/>
          <w:szCs w:val="36"/>
          <w:highlight w:val="none"/>
        </w:rPr>
        <w:t>部门</w:t>
      </w:r>
      <w:r>
        <w:rPr>
          <w:rFonts w:hint="eastAsia" w:ascii="Times New Roman" w:hAnsi="Times New Roman" w:eastAsia="仿宋_GB2312" w:cs="黑体"/>
          <w:b/>
          <w:color w:val="000000"/>
          <w:kern w:val="0"/>
          <w:sz w:val="36"/>
          <w:szCs w:val="36"/>
          <w:highlight w:val="none"/>
          <w:lang w:eastAsia="zh-CN"/>
        </w:rPr>
        <w:t>（单位）</w:t>
      </w:r>
      <w:r>
        <w:rPr>
          <w:rFonts w:hint="eastAsia" w:ascii="Times New Roman" w:hAnsi="Times New Roman" w:eastAsia="仿宋_GB2312" w:cs="黑体"/>
          <w:b/>
          <w:color w:val="000000"/>
          <w:kern w:val="0"/>
          <w:sz w:val="36"/>
          <w:szCs w:val="36"/>
          <w:highlight w:val="none"/>
        </w:rPr>
        <w:t>整体支出绩效</w:t>
      </w:r>
      <w:r>
        <w:rPr>
          <w:rFonts w:hint="eastAsia" w:ascii="Times New Roman" w:hAnsi="Times New Roman" w:eastAsia="仿宋_GB2312" w:cs="黑体"/>
          <w:b/>
          <w:color w:val="000000"/>
          <w:kern w:val="0"/>
          <w:sz w:val="36"/>
          <w:szCs w:val="36"/>
          <w:highlight w:val="none"/>
          <w:lang w:val="en-US" w:eastAsia="zh-CN"/>
        </w:rPr>
        <w:t>自评</w:t>
      </w:r>
      <w:r>
        <w:rPr>
          <w:rFonts w:hint="eastAsia" w:ascii="Times New Roman" w:hAnsi="Times New Roman" w:eastAsia="仿宋_GB2312" w:cs="黑体"/>
          <w:b/>
          <w:color w:val="000000"/>
          <w:kern w:val="0"/>
          <w:sz w:val="36"/>
          <w:szCs w:val="36"/>
          <w:highlight w:val="none"/>
        </w:rPr>
        <w:t>报告</w:t>
      </w:r>
    </w:p>
    <w:p w14:paraId="4F571F8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highlight w:val="none"/>
          <w:lang w:eastAsia="zh-CN"/>
        </w:rPr>
      </w:pPr>
    </w:p>
    <w:p w14:paraId="4AD2B1A7">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一、部门（单位）概况</w:t>
      </w:r>
    </w:p>
    <w:p w14:paraId="146BF578">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楷体_GB2312" w:cs="Times New Roman"/>
          <w:b/>
          <w:bCs/>
          <w:sz w:val="32"/>
          <w:szCs w:val="32"/>
          <w:highlight w:val="none"/>
        </w:rPr>
      </w:pPr>
      <w:r>
        <w:rPr>
          <w:rFonts w:ascii="Times New Roman" w:hAnsi="Times New Roman" w:eastAsia="楷体_GB2312" w:cs="Times New Roman"/>
          <w:b/>
          <w:bCs/>
          <w:sz w:val="32"/>
          <w:szCs w:val="32"/>
          <w:highlight w:val="none"/>
        </w:rPr>
        <w:t>（一）部门（单位）基本情况</w:t>
      </w:r>
    </w:p>
    <w:p w14:paraId="5F8AC4B7">
      <w:pPr>
        <w:keepNext w:val="0"/>
        <w:keepLines w:val="0"/>
        <w:pageBreakBefore w:val="0"/>
        <w:kinsoku/>
        <w:wordWrap/>
        <w:overflowPunct/>
        <w:topLinePunct w:val="0"/>
        <w:autoSpaceDE/>
        <w:autoSpaceDN/>
        <w:bidi w:val="0"/>
        <w:spacing w:line="560" w:lineRule="exact"/>
        <w:ind w:firstLine="660"/>
        <w:textAlignment w:val="auto"/>
        <w:rPr>
          <w:rFonts w:eastAsia="仿宋_GB2312"/>
          <w:sz w:val="32"/>
          <w:szCs w:val="32"/>
          <w:highlight w:val="none"/>
        </w:rPr>
      </w:pPr>
      <w:r>
        <w:rPr>
          <w:rFonts w:eastAsia="仿宋_GB2312"/>
          <w:sz w:val="32"/>
          <w:szCs w:val="32"/>
          <w:highlight w:val="none"/>
        </w:rPr>
        <w:t>祁阳</w:t>
      </w:r>
      <w:r>
        <w:rPr>
          <w:rFonts w:hint="eastAsia" w:eastAsia="仿宋_GB2312"/>
          <w:sz w:val="32"/>
          <w:szCs w:val="32"/>
          <w:highlight w:val="none"/>
        </w:rPr>
        <w:t>市</w:t>
      </w:r>
      <w:r>
        <w:rPr>
          <w:rFonts w:eastAsia="仿宋_GB2312"/>
          <w:sz w:val="32"/>
          <w:szCs w:val="32"/>
          <w:highlight w:val="none"/>
        </w:rPr>
        <w:t>教育部门20</w:t>
      </w:r>
      <w:r>
        <w:rPr>
          <w:rFonts w:hint="eastAsia" w:eastAsia="仿宋_GB2312"/>
          <w:sz w:val="32"/>
          <w:szCs w:val="32"/>
          <w:highlight w:val="none"/>
        </w:rPr>
        <w:t>2</w:t>
      </w:r>
      <w:r>
        <w:rPr>
          <w:rFonts w:hint="eastAsia" w:eastAsia="仿宋_GB2312"/>
          <w:sz w:val="32"/>
          <w:szCs w:val="32"/>
          <w:highlight w:val="none"/>
          <w:lang w:val="en-US" w:eastAsia="zh-CN"/>
        </w:rPr>
        <w:t>3</w:t>
      </w:r>
      <w:r>
        <w:rPr>
          <w:rFonts w:eastAsia="仿宋_GB2312"/>
          <w:sz w:val="32"/>
          <w:szCs w:val="32"/>
          <w:highlight w:val="none"/>
        </w:rPr>
        <w:t>年共有机构数</w:t>
      </w:r>
      <w:r>
        <w:rPr>
          <w:rFonts w:hint="eastAsia" w:eastAsia="仿宋_GB2312"/>
          <w:sz w:val="32"/>
          <w:szCs w:val="32"/>
          <w:highlight w:val="none"/>
        </w:rPr>
        <w:t>19</w:t>
      </w:r>
      <w:r>
        <w:rPr>
          <w:rFonts w:eastAsia="仿宋_GB2312"/>
          <w:sz w:val="32"/>
          <w:szCs w:val="32"/>
          <w:highlight w:val="none"/>
        </w:rPr>
        <w:t>5个，其中职业中等专业学校1所，高级中学1所，完全中学2所，初级中学27所，九年一贯制学校4所，普通小学</w:t>
      </w:r>
      <w:r>
        <w:rPr>
          <w:rFonts w:hint="eastAsia" w:eastAsia="仿宋_GB2312"/>
          <w:sz w:val="32"/>
          <w:szCs w:val="32"/>
          <w:highlight w:val="none"/>
        </w:rPr>
        <w:t>104</w:t>
      </w:r>
      <w:r>
        <w:rPr>
          <w:rFonts w:eastAsia="仿宋_GB2312"/>
          <w:sz w:val="32"/>
          <w:szCs w:val="32"/>
          <w:highlight w:val="none"/>
        </w:rPr>
        <w:t>所，公办幼儿园</w:t>
      </w:r>
      <w:r>
        <w:rPr>
          <w:rFonts w:hint="eastAsia" w:eastAsia="仿宋_GB2312"/>
          <w:sz w:val="32"/>
          <w:szCs w:val="32"/>
          <w:highlight w:val="none"/>
        </w:rPr>
        <w:t>5</w:t>
      </w:r>
      <w:r>
        <w:rPr>
          <w:rFonts w:eastAsia="仿宋_GB2312"/>
          <w:sz w:val="32"/>
          <w:szCs w:val="32"/>
          <w:highlight w:val="none"/>
        </w:rPr>
        <w:t>2所(另附设幼儿班</w:t>
      </w:r>
      <w:r>
        <w:rPr>
          <w:rFonts w:hint="eastAsia" w:eastAsia="仿宋_GB2312"/>
          <w:sz w:val="32"/>
          <w:szCs w:val="32"/>
          <w:highlight w:val="none"/>
        </w:rPr>
        <w:t>6</w:t>
      </w:r>
      <w:r>
        <w:rPr>
          <w:rFonts w:hint="eastAsia" w:eastAsia="仿宋_GB2312"/>
          <w:sz w:val="32"/>
          <w:szCs w:val="32"/>
          <w:highlight w:val="none"/>
          <w:lang w:val="en-US" w:eastAsia="zh-CN"/>
        </w:rPr>
        <w:t>4</w:t>
      </w:r>
      <w:r>
        <w:rPr>
          <w:rFonts w:eastAsia="仿宋_GB2312"/>
          <w:sz w:val="32"/>
          <w:szCs w:val="32"/>
          <w:highlight w:val="none"/>
        </w:rPr>
        <w:t>个)，特殊教育学校1所，教师进修学校1所，教育行政单位1个，教育事业单位1个；年末在职教职工</w:t>
      </w:r>
      <w:r>
        <w:rPr>
          <w:rFonts w:hint="eastAsia" w:eastAsia="仿宋_GB2312"/>
          <w:sz w:val="32"/>
          <w:szCs w:val="32"/>
          <w:highlight w:val="none"/>
          <w:lang w:val="en-US" w:eastAsia="zh-CN"/>
        </w:rPr>
        <w:t>8115</w:t>
      </w:r>
      <w:r>
        <w:rPr>
          <w:rFonts w:eastAsia="仿宋_GB2312"/>
          <w:sz w:val="32"/>
          <w:szCs w:val="32"/>
          <w:highlight w:val="none"/>
        </w:rPr>
        <w:t>人，年末编制外长期聘用人员</w:t>
      </w:r>
      <w:r>
        <w:rPr>
          <w:rFonts w:hint="eastAsia" w:eastAsia="仿宋_GB2312"/>
          <w:sz w:val="32"/>
          <w:szCs w:val="32"/>
          <w:highlight w:val="none"/>
          <w:lang w:val="en-US" w:eastAsia="zh-CN"/>
        </w:rPr>
        <w:t>1089</w:t>
      </w:r>
      <w:r>
        <w:rPr>
          <w:rFonts w:eastAsia="仿宋_GB2312"/>
          <w:sz w:val="32"/>
          <w:szCs w:val="32"/>
          <w:highlight w:val="none"/>
        </w:rPr>
        <w:t>人（其中</w:t>
      </w:r>
      <w:r>
        <w:rPr>
          <w:rFonts w:hint="eastAsia" w:eastAsia="仿宋_GB2312"/>
          <w:sz w:val="32"/>
          <w:szCs w:val="32"/>
          <w:highlight w:val="none"/>
          <w:lang w:val="en-US" w:eastAsia="zh-CN"/>
        </w:rPr>
        <w:t>2023年8月转正入编</w:t>
      </w:r>
      <w:r>
        <w:rPr>
          <w:rFonts w:eastAsia="仿宋_GB2312"/>
          <w:sz w:val="32"/>
          <w:szCs w:val="32"/>
          <w:highlight w:val="none"/>
        </w:rPr>
        <w:t>中小学特岗教师</w:t>
      </w:r>
      <w:r>
        <w:rPr>
          <w:rFonts w:hint="eastAsia" w:eastAsia="仿宋_GB2312"/>
          <w:sz w:val="32"/>
          <w:szCs w:val="32"/>
          <w:highlight w:val="none"/>
          <w:lang w:val="en-US" w:eastAsia="zh-CN"/>
        </w:rPr>
        <w:t>167人</w:t>
      </w:r>
      <w:r>
        <w:rPr>
          <w:rFonts w:eastAsia="仿宋_GB2312"/>
          <w:sz w:val="32"/>
          <w:szCs w:val="32"/>
          <w:highlight w:val="none"/>
        </w:rPr>
        <w:t>；中职编制外长期聘用</w:t>
      </w:r>
      <w:r>
        <w:rPr>
          <w:rFonts w:hint="eastAsia" w:eastAsia="仿宋_GB2312"/>
          <w:sz w:val="32"/>
          <w:szCs w:val="32"/>
          <w:highlight w:val="none"/>
          <w:lang w:val="en-US" w:eastAsia="zh-CN"/>
        </w:rPr>
        <w:t>70</w:t>
      </w:r>
      <w:r>
        <w:rPr>
          <w:rFonts w:eastAsia="仿宋_GB2312"/>
          <w:sz w:val="32"/>
          <w:szCs w:val="32"/>
          <w:highlight w:val="none"/>
        </w:rPr>
        <w:t>人、幼儿园编制外长期聘用</w:t>
      </w:r>
      <w:r>
        <w:rPr>
          <w:rFonts w:hint="eastAsia" w:eastAsia="仿宋_GB2312"/>
          <w:sz w:val="32"/>
          <w:szCs w:val="32"/>
          <w:highlight w:val="none"/>
          <w:lang w:val="en-US" w:eastAsia="zh-CN"/>
        </w:rPr>
        <w:t>948</w:t>
      </w:r>
      <w:r>
        <w:rPr>
          <w:rFonts w:eastAsia="仿宋_GB2312"/>
          <w:sz w:val="32"/>
          <w:szCs w:val="32"/>
          <w:highlight w:val="none"/>
        </w:rPr>
        <w:t>人）；离退休人员</w:t>
      </w:r>
      <w:r>
        <w:rPr>
          <w:rFonts w:hint="eastAsia" w:eastAsia="仿宋_GB2312"/>
          <w:sz w:val="32"/>
          <w:szCs w:val="32"/>
          <w:highlight w:val="none"/>
          <w:lang w:val="en-US" w:eastAsia="zh-CN"/>
        </w:rPr>
        <w:t>4490</w:t>
      </w:r>
      <w:r>
        <w:rPr>
          <w:rFonts w:eastAsia="仿宋_GB2312"/>
          <w:sz w:val="32"/>
          <w:szCs w:val="32"/>
          <w:highlight w:val="none"/>
        </w:rPr>
        <w:t>人；年末在校学生</w:t>
      </w:r>
      <w:r>
        <w:rPr>
          <w:rFonts w:hint="eastAsia" w:eastAsia="仿宋_GB2312"/>
          <w:sz w:val="32"/>
          <w:szCs w:val="32"/>
          <w:highlight w:val="none"/>
          <w:lang w:val="en-US" w:eastAsia="zh-CN"/>
        </w:rPr>
        <w:t>118798</w:t>
      </w:r>
      <w:r>
        <w:rPr>
          <w:rFonts w:eastAsia="仿宋_GB2312"/>
          <w:sz w:val="32"/>
          <w:szCs w:val="32"/>
          <w:highlight w:val="none"/>
        </w:rPr>
        <w:t>人，其中职业高中</w:t>
      </w:r>
      <w:r>
        <w:rPr>
          <w:rFonts w:hint="eastAsia" w:eastAsia="仿宋_GB2312"/>
          <w:sz w:val="32"/>
          <w:szCs w:val="32"/>
          <w:highlight w:val="none"/>
        </w:rPr>
        <w:t>1</w:t>
      </w:r>
      <w:r>
        <w:rPr>
          <w:rFonts w:eastAsia="仿宋_GB2312"/>
          <w:sz w:val="32"/>
          <w:szCs w:val="32"/>
          <w:highlight w:val="none"/>
        </w:rPr>
        <w:t>2</w:t>
      </w:r>
      <w:r>
        <w:rPr>
          <w:rFonts w:hint="eastAsia" w:eastAsia="仿宋_GB2312"/>
          <w:sz w:val="32"/>
          <w:szCs w:val="32"/>
          <w:highlight w:val="none"/>
          <w:lang w:val="en-US" w:eastAsia="zh-CN"/>
        </w:rPr>
        <w:t>582</w:t>
      </w:r>
      <w:r>
        <w:rPr>
          <w:rFonts w:eastAsia="仿宋_GB2312"/>
          <w:sz w:val="32"/>
          <w:szCs w:val="32"/>
          <w:highlight w:val="none"/>
        </w:rPr>
        <w:t>人，普通高中</w:t>
      </w:r>
      <w:r>
        <w:rPr>
          <w:rFonts w:hint="eastAsia" w:eastAsia="仿宋_GB2312"/>
          <w:sz w:val="32"/>
          <w:szCs w:val="32"/>
          <w:highlight w:val="none"/>
          <w:lang w:val="en-US" w:eastAsia="zh-CN"/>
        </w:rPr>
        <w:t>13055</w:t>
      </w:r>
      <w:r>
        <w:rPr>
          <w:rFonts w:eastAsia="仿宋_GB2312"/>
          <w:sz w:val="32"/>
          <w:szCs w:val="32"/>
          <w:highlight w:val="none"/>
        </w:rPr>
        <w:t>人，初中生30</w:t>
      </w:r>
      <w:r>
        <w:rPr>
          <w:rFonts w:hint="eastAsia" w:eastAsia="仿宋_GB2312"/>
          <w:sz w:val="32"/>
          <w:szCs w:val="32"/>
          <w:highlight w:val="none"/>
          <w:lang w:val="en-US" w:eastAsia="zh-CN"/>
        </w:rPr>
        <w:t>953</w:t>
      </w:r>
      <w:r>
        <w:rPr>
          <w:rFonts w:eastAsia="仿宋_GB2312"/>
          <w:sz w:val="32"/>
          <w:szCs w:val="32"/>
          <w:highlight w:val="none"/>
        </w:rPr>
        <w:t>人，小学生</w:t>
      </w:r>
      <w:r>
        <w:rPr>
          <w:rFonts w:hint="eastAsia" w:eastAsia="仿宋_GB2312"/>
          <w:sz w:val="32"/>
          <w:szCs w:val="32"/>
          <w:highlight w:val="none"/>
          <w:lang w:val="en-US" w:eastAsia="zh-CN"/>
        </w:rPr>
        <w:t>51809</w:t>
      </w:r>
      <w:r>
        <w:rPr>
          <w:rFonts w:eastAsia="仿宋_GB2312"/>
          <w:sz w:val="32"/>
          <w:szCs w:val="32"/>
          <w:highlight w:val="none"/>
        </w:rPr>
        <w:t>人，特殊教育学生</w:t>
      </w:r>
      <w:r>
        <w:rPr>
          <w:rFonts w:hint="eastAsia" w:eastAsia="仿宋_GB2312"/>
          <w:sz w:val="32"/>
          <w:szCs w:val="32"/>
          <w:highlight w:val="none"/>
          <w:lang w:val="en-US" w:eastAsia="zh-CN"/>
        </w:rPr>
        <w:t>317</w:t>
      </w:r>
      <w:r>
        <w:rPr>
          <w:rFonts w:hint="eastAsia" w:eastAsia="仿宋_GB2312"/>
          <w:sz w:val="32"/>
          <w:szCs w:val="32"/>
          <w:highlight w:val="none"/>
        </w:rPr>
        <w:t>人</w:t>
      </w:r>
      <w:r>
        <w:rPr>
          <w:rFonts w:eastAsia="仿宋_GB2312"/>
          <w:sz w:val="32"/>
          <w:szCs w:val="32"/>
          <w:highlight w:val="none"/>
        </w:rPr>
        <w:t>，幼儿园学生</w:t>
      </w:r>
      <w:r>
        <w:rPr>
          <w:rFonts w:hint="eastAsia" w:eastAsia="仿宋_GB2312"/>
          <w:sz w:val="32"/>
          <w:szCs w:val="32"/>
          <w:highlight w:val="none"/>
          <w:lang w:val="en-US" w:eastAsia="zh-CN"/>
        </w:rPr>
        <w:t>10082</w:t>
      </w:r>
      <w:r>
        <w:rPr>
          <w:rFonts w:eastAsia="仿宋_GB2312"/>
          <w:sz w:val="32"/>
          <w:szCs w:val="32"/>
          <w:highlight w:val="none"/>
        </w:rPr>
        <w:t>人。其他部门（</w:t>
      </w:r>
      <w:r>
        <w:rPr>
          <w:rFonts w:hint="eastAsia" w:eastAsia="仿宋_GB2312"/>
          <w:sz w:val="32"/>
          <w:szCs w:val="32"/>
          <w:highlight w:val="none"/>
        </w:rPr>
        <w:t>市</w:t>
      </w:r>
      <w:r>
        <w:rPr>
          <w:rFonts w:eastAsia="仿宋_GB2312"/>
          <w:sz w:val="32"/>
          <w:szCs w:val="32"/>
          <w:highlight w:val="none"/>
        </w:rPr>
        <w:t>委党校）机构数1个，年末在职教职工2</w:t>
      </w:r>
      <w:r>
        <w:rPr>
          <w:rFonts w:hint="eastAsia" w:eastAsia="仿宋_GB2312"/>
          <w:sz w:val="32"/>
          <w:szCs w:val="32"/>
          <w:highlight w:val="none"/>
          <w:lang w:val="en-US" w:eastAsia="zh-CN"/>
        </w:rPr>
        <w:t>6</w:t>
      </w:r>
      <w:r>
        <w:rPr>
          <w:rFonts w:eastAsia="仿宋_GB2312"/>
          <w:sz w:val="32"/>
          <w:szCs w:val="32"/>
          <w:highlight w:val="none"/>
        </w:rPr>
        <w:t>人，离退休人员15人。民办学校</w:t>
      </w:r>
      <w:r>
        <w:rPr>
          <w:rFonts w:hint="eastAsia" w:eastAsia="仿宋_GB2312"/>
          <w:sz w:val="32"/>
          <w:szCs w:val="32"/>
          <w:highlight w:val="none"/>
        </w:rPr>
        <w:t>16</w:t>
      </w:r>
      <w:r>
        <w:rPr>
          <w:rFonts w:eastAsia="仿宋_GB2312"/>
          <w:sz w:val="32"/>
          <w:szCs w:val="32"/>
          <w:highlight w:val="none"/>
        </w:rPr>
        <w:t>5个，其中职业技术学校1所，十二年一贯制学校2所，九年一贯制学校</w:t>
      </w:r>
      <w:r>
        <w:rPr>
          <w:rFonts w:hint="eastAsia" w:eastAsia="仿宋_GB2312"/>
          <w:sz w:val="32"/>
          <w:szCs w:val="32"/>
          <w:highlight w:val="none"/>
          <w:lang w:val="en-US" w:eastAsia="zh-CN"/>
        </w:rPr>
        <w:t>10</w:t>
      </w:r>
      <w:r>
        <w:rPr>
          <w:rFonts w:eastAsia="仿宋_GB2312"/>
          <w:sz w:val="32"/>
          <w:szCs w:val="32"/>
          <w:highlight w:val="none"/>
        </w:rPr>
        <w:t>所</w:t>
      </w:r>
      <w:r>
        <w:rPr>
          <w:rFonts w:hint="eastAsia" w:eastAsia="仿宋_GB2312"/>
          <w:sz w:val="32"/>
          <w:szCs w:val="32"/>
          <w:highlight w:val="none"/>
        </w:rPr>
        <w:t>（另未填报在建中</w:t>
      </w:r>
      <w:r>
        <w:rPr>
          <w:rFonts w:eastAsia="仿宋_GB2312"/>
          <w:sz w:val="32"/>
          <w:szCs w:val="32"/>
          <w:highlight w:val="none"/>
        </w:rPr>
        <w:t>九年一贯制学校</w:t>
      </w:r>
      <w:r>
        <w:rPr>
          <w:rFonts w:hint="eastAsia" w:eastAsia="仿宋_GB2312"/>
          <w:sz w:val="32"/>
          <w:szCs w:val="32"/>
          <w:highlight w:val="none"/>
        </w:rPr>
        <w:t>1所）</w:t>
      </w:r>
      <w:r>
        <w:rPr>
          <w:rFonts w:eastAsia="仿宋_GB2312"/>
          <w:sz w:val="32"/>
          <w:szCs w:val="32"/>
          <w:highlight w:val="none"/>
        </w:rPr>
        <w:t>，小学</w:t>
      </w:r>
      <w:r>
        <w:rPr>
          <w:rFonts w:hint="eastAsia" w:eastAsia="仿宋_GB2312"/>
          <w:sz w:val="32"/>
          <w:szCs w:val="32"/>
          <w:highlight w:val="none"/>
          <w:lang w:val="en-US" w:eastAsia="zh-CN"/>
        </w:rPr>
        <w:t>6</w:t>
      </w:r>
      <w:r>
        <w:rPr>
          <w:rFonts w:eastAsia="仿宋_GB2312"/>
          <w:sz w:val="32"/>
          <w:szCs w:val="32"/>
          <w:highlight w:val="none"/>
        </w:rPr>
        <w:t>所，幼儿园</w:t>
      </w:r>
      <w:r>
        <w:rPr>
          <w:rFonts w:hint="eastAsia" w:eastAsia="仿宋_GB2312"/>
          <w:sz w:val="32"/>
          <w:szCs w:val="32"/>
          <w:highlight w:val="none"/>
          <w:lang w:val="en-US" w:eastAsia="zh-CN"/>
        </w:rPr>
        <w:t>138</w:t>
      </w:r>
      <w:r>
        <w:rPr>
          <w:rFonts w:eastAsia="仿宋_GB2312"/>
          <w:sz w:val="32"/>
          <w:szCs w:val="32"/>
          <w:highlight w:val="none"/>
        </w:rPr>
        <w:t>所(其中停办</w:t>
      </w:r>
      <w:r>
        <w:rPr>
          <w:rFonts w:hint="eastAsia" w:eastAsia="仿宋_GB2312"/>
          <w:sz w:val="32"/>
          <w:szCs w:val="32"/>
          <w:highlight w:val="none"/>
        </w:rPr>
        <w:t>1</w:t>
      </w:r>
      <w:r>
        <w:rPr>
          <w:rFonts w:hint="eastAsia" w:eastAsia="仿宋_GB2312"/>
          <w:sz w:val="32"/>
          <w:szCs w:val="32"/>
          <w:highlight w:val="none"/>
          <w:lang w:val="en-US" w:eastAsia="zh-CN"/>
        </w:rPr>
        <w:t>4</w:t>
      </w:r>
      <w:r>
        <w:rPr>
          <w:rFonts w:eastAsia="仿宋_GB2312"/>
          <w:sz w:val="32"/>
          <w:szCs w:val="32"/>
          <w:highlight w:val="none"/>
        </w:rPr>
        <w:t>所；普惠性幼儿园</w:t>
      </w:r>
      <w:r>
        <w:rPr>
          <w:rFonts w:hint="eastAsia" w:eastAsia="仿宋_GB2312"/>
          <w:sz w:val="32"/>
          <w:szCs w:val="32"/>
          <w:highlight w:val="none"/>
          <w:lang w:val="en-US" w:eastAsia="zh-CN"/>
        </w:rPr>
        <w:t>94</w:t>
      </w:r>
      <w:r>
        <w:rPr>
          <w:rFonts w:eastAsia="仿宋_GB2312"/>
          <w:sz w:val="32"/>
          <w:szCs w:val="32"/>
          <w:highlight w:val="none"/>
        </w:rPr>
        <w:t>所；附设幼儿班1个）；年末在职教职工</w:t>
      </w:r>
      <w:r>
        <w:rPr>
          <w:rFonts w:hint="eastAsia" w:eastAsia="仿宋_GB2312"/>
          <w:sz w:val="32"/>
          <w:szCs w:val="32"/>
          <w:highlight w:val="none"/>
          <w:lang w:val="en-US" w:eastAsia="zh-CN"/>
        </w:rPr>
        <w:t>2520</w:t>
      </w:r>
      <w:r>
        <w:rPr>
          <w:rFonts w:eastAsia="仿宋_GB2312"/>
          <w:sz w:val="32"/>
          <w:szCs w:val="32"/>
          <w:highlight w:val="none"/>
        </w:rPr>
        <w:t>人；年末在校学生</w:t>
      </w:r>
      <w:r>
        <w:rPr>
          <w:rFonts w:hint="eastAsia" w:eastAsia="仿宋_GB2312"/>
          <w:sz w:val="32"/>
          <w:szCs w:val="32"/>
          <w:highlight w:val="none"/>
          <w:lang w:val="en-US" w:eastAsia="zh-CN"/>
        </w:rPr>
        <w:t>20614</w:t>
      </w:r>
      <w:r>
        <w:rPr>
          <w:rFonts w:eastAsia="仿宋_GB2312"/>
          <w:sz w:val="32"/>
          <w:szCs w:val="32"/>
          <w:highlight w:val="none"/>
        </w:rPr>
        <w:t>人，其中职业高中</w:t>
      </w:r>
      <w:r>
        <w:rPr>
          <w:rFonts w:hint="eastAsia" w:eastAsia="仿宋_GB2312"/>
          <w:sz w:val="32"/>
          <w:szCs w:val="32"/>
          <w:highlight w:val="none"/>
          <w:lang w:val="en-US" w:eastAsia="zh-CN"/>
        </w:rPr>
        <w:t>677</w:t>
      </w:r>
      <w:r>
        <w:rPr>
          <w:rFonts w:eastAsia="仿宋_GB2312"/>
          <w:sz w:val="32"/>
          <w:szCs w:val="32"/>
          <w:highlight w:val="none"/>
        </w:rPr>
        <w:t>人，普通高中</w:t>
      </w:r>
      <w:r>
        <w:rPr>
          <w:rFonts w:hint="eastAsia" w:eastAsia="仿宋_GB2312"/>
          <w:sz w:val="32"/>
          <w:szCs w:val="32"/>
          <w:highlight w:val="none"/>
          <w:lang w:val="en-US" w:eastAsia="zh-CN"/>
        </w:rPr>
        <w:t>5353</w:t>
      </w:r>
      <w:r>
        <w:rPr>
          <w:rFonts w:eastAsia="仿宋_GB2312"/>
          <w:sz w:val="32"/>
          <w:szCs w:val="32"/>
          <w:highlight w:val="none"/>
        </w:rPr>
        <w:t>人，普通初中</w:t>
      </w:r>
      <w:r>
        <w:rPr>
          <w:rFonts w:hint="eastAsia" w:eastAsia="仿宋_GB2312"/>
          <w:sz w:val="32"/>
          <w:szCs w:val="32"/>
          <w:highlight w:val="none"/>
          <w:lang w:val="en-US" w:eastAsia="zh-CN"/>
        </w:rPr>
        <w:t>3272</w:t>
      </w:r>
      <w:r>
        <w:rPr>
          <w:rFonts w:eastAsia="仿宋_GB2312"/>
          <w:sz w:val="32"/>
          <w:szCs w:val="32"/>
          <w:highlight w:val="none"/>
        </w:rPr>
        <w:t>人，小学</w:t>
      </w:r>
      <w:r>
        <w:rPr>
          <w:rFonts w:hint="eastAsia" w:eastAsia="仿宋_GB2312"/>
          <w:sz w:val="32"/>
          <w:szCs w:val="32"/>
          <w:highlight w:val="none"/>
          <w:lang w:val="en-US" w:eastAsia="zh-CN"/>
        </w:rPr>
        <w:t>4714</w:t>
      </w:r>
      <w:r>
        <w:rPr>
          <w:rFonts w:eastAsia="仿宋_GB2312"/>
          <w:sz w:val="32"/>
          <w:szCs w:val="32"/>
          <w:highlight w:val="none"/>
        </w:rPr>
        <w:t>人，幼儿园</w:t>
      </w:r>
      <w:r>
        <w:rPr>
          <w:rFonts w:hint="eastAsia" w:eastAsia="仿宋_GB2312"/>
          <w:sz w:val="32"/>
          <w:szCs w:val="32"/>
          <w:highlight w:val="none"/>
          <w:lang w:val="en-US" w:eastAsia="zh-CN"/>
        </w:rPr>
        <w:t>6598</w:t>
      </w:r>
      <w:r>
        <w:rPr>
          <w:rFonts w:eastAsia="仿宋_GB2312"/>
          <w:sz w:val="32"/>
          <w:szCs w:val="32"/>
          <w:highlight w:val="none"/>
        </w:rPr>
        <w:t>人</w:t>
      </w:r>
      <w:r>
        <w:rPr>
          <w:rFonts w:hint="eastAsia" w:eastAsia="仿宋_GB2312"/>
          <w:sz w:val="32"/>
          <w:szCs w:val="32"/>
          <w:highlight w:val="none"/>
        </w:rPr>
        <w:t>。</w:t>
      </w:r>
    </w:p>
    <w:p w14:paraId="12BBCE55">
      <w:pPr>
        <w:keepNext w:val="0"/>
        <w:keepLines w:val="0"/>
        <w:pageBreakBefore w:val="0"/>
        <w:kinsoku/>
        <w:wordWrap/>
        <w:overflowPunct/>
        <w:topLinePunct w:val="0"/>
        <w:autoSpaceDE/>
        <w:autoSpaceDN/>
        <w:bidi w:val="0"/>
        <w:spacing w:line="560" w:lineRule="exact"/>
        <w:ind w:firstLine="660"/>
        <w:textAlignment w:val="auto"/>
        <w:rPr>
          <w:rFonts w:eastAsia="仿宋_GB2312"/>
          <w:b/>
          <w:bCs/>
          <w:sz w:val="32"/>
          <w:szCs w:val="32"/>
          <w:highlight w:val="none"/>
        </w:rPr>
      </w:pPr>
      <w:r>
        <w:rPr>
          <w:rFonts w:eastAsia="仿宋_GB2312"/>
          <w:b/>
          <w:bCs/>
          <w:sz w:val="32"/>
          <w:szCs w:val="32"/>
          <w:highlight w:val="none"/>
        </w:rPr>
        <w:t>（二）单位主要职责</w:t>
      </w:r>
    </w:p>
    <w:p w14:paraId="045B8F03">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sectPr>
          <w:headerReference r:id="rId3" w:type="default"/>
          <w:footerReference r:id="rId4" w:type="default"/>
          <w:pgSz w:w="11907" w:h="16839"/>
          <w:pgMar w:top="1440" w:right="1080" w:bottom="1440" w:left="1080" w:header="0" w:footer="0" w:gutter="0"/>
          <w:pgNumType w:fmt="decimal"/>
          <w:cols w:space="720" w:num="1"/>
        </w:sectPr>
      </w:pPr>
      <w:r>
        <w:rPr>
          <w:rFonts w:hint="eastAsia" w:eastAsia="仿宋_GB2312"/>
          <w:sz w:val="32"/>
          <w:szCs w:val="32"/>
          <w:highlight w:val="none"/>
        </w:rPr>
        <w:t>1</w:t>
      </w:r>
      <w:r>
        <w:rPr>
          <w:rFonts w:hint="eastAsia" w:eastAsia="仿宋_GB2312"/>
          <w:sz w:val="32"/>
          <w:szCs w:val="32"/>
          <w:highlight w:val="none"/>
          <w:lang w:eastAsia="zh-CN"/>
        </w:rPr>
        <w:t>、</w:t>
      </w:r>
      <w:r>
        <w:rPr>
          <w:rFonts w:eastAsia="仿宋_GB2312"/>
          <w:sz w:val="32"/>
          <w:szCs w:val="32"/>
          <w:highlight w:val="none"/>
        </w:rPr>
        <w:t>负责各级各类教育的统筹规划和协调管理，会同有关部 门审批、设立各级各类学校； 指导各级各类学校的教育教学研究和改革</w:t>
      </w:r>
      <w:r>
        <w:rPr>
          <w:rFonts w:hint="eastAsia" w:eastAsia="仿宋_GB2312"/>
          <w:sz w:val="32"/>
          <w:szCs w:val="32"/>
          <w:highlight w:val="none"/>
        </w:rPr>
        <w:t>；</w:t>
      </w:r>
      <w:r>
        <w:rPr>
          <w:rFonts w:eastAsia="仿宋_GB2312"/>
          <w:sz w:val="32"/>
          <w:szCs w:val="32"/>
          <w:highlight w:val="none"/>
        </w:rPr>
        <w:t>负责教育基本信息的统计、分析和发布</w:t>
      </w:r>
      <w:r>
        <w:rPr>
          <w:rFonts w:hint="eastAsia" w:eastAsia="仿宋_GB2312"/>
          <w:sz w:val="32"/>
          <w:szCs w:val="32"/>
          <w:highlight w:val="none"/>
        </w:rPr>
        <w:t>。</w:t>
      </w:r>
    </w:p>
    <w:p w14:paraId="34608E72">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lang w:eastAsia="zh-CN"/>
        </w:rPr>
        <w:t>、</w:t>
      </w:r>
      <w:r>
        <w:rPr>
          <w:rFonts w:eastAsia="仿宋_GB2312"/>
          <w:sz w:val="32"/>
          <w:szCs w:val="32"/>
          <w:highlight w:val="none"/>
        </w:rPr>
        <w:t>统筹管理</w:t>
      </w:r>
      <w:r>
        <w:rPr>
          <w:rFonts w:hint="eastAsia" w:eastAsia="仿宋_GB2312"/>
          <w:sz w:val="32"/>
          <w:szCs w:val="32"/>
          <w:highlight w:val="none"/>
        </w:rPr>
        <w:t>市</w:t>
      </w:r>
      <w:r>
        <w:rPr>
          <w:rFonts w:eastAsia="仿宋_GB2312"/>
          <w:sz w:val="32"/>
          <w:szCs w:val="32"/>
          <w:highlight w:val="none"/>
        </w:rPr>
        <w:t>本级教育经费和上级对本</w:t>
      </w:r>
      <w:r>
        <w:rPr>
          <w:rFonts w:hint="eastAsia" w:eastAsia="仿宋_GB2312"/>
          <w:sz w:val="32"/>
          <w:szCs w:val="32"/>
          <w:highlight w:val="none"/>
        </w:rPr>
        <w:t>市</w:t>
      </w:r>
      <w:r>
        <w:rPr>
          <w:rFonts w:eastAsia="仿宋_GB2312"/>
          <w:sz w:val="32"/>
          <w:szCs w:val="32"/>
          <w:highlight w:val="none"/>
        </w:rPr>
        <w:t>的教育拨款；负责指导、管理全</w:t>
      </w:r>
      <w:r>
        <w:rPr>
          <w:rFonts w:hint="eastAsia" w:eastAsia="仿宋_GB2312"/>
          <w:sz w:val="32"/>
          <w:szCs w:val="32"/>
          <w:highlight w:val="none"/>
        </w:rPr>
        <w:t>市</w:t>
      </w:r>
      <w:r>
        <w:rPr>
          <w:rFonts w:eastAsia="仿宋_GB2312"/>
          <w:sz w:val="32"/>
          <w:szCs w:val="32"/>
          <w:highlight w:val="none"/>
        </w:rPr>
        <w:t>资助经济困难学生工作；指导和组织实施教育系统内部审计工作。</w:t>
      </w:r>
    </w:p>
    <w:p w14:paraId="57DD21BF">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3</w:t>
      </w:r>
      <w:r>
        <w:rPr>
          <w:rFonts w:hint="eastAsia" w:eastAsia="仿宋_GB2312"/>
          <w:sz w:val="32"/>
          <w:szCs w:val="32"/>
          <w:highlight w:val="none"/>
          <w:lang w:eastAsia="zh-CN"/>
        </w:rPr>
        <w:t>、</w:t>
      </w:r>
      <w:r>
        <w:rPr>
          <w:rFonts w:eastAsia="仿宋_GB2312"/>
          <w:sz w:val="32"/>
          <w:szCs w:val="32"/>
          <w:highlight w:val="none"/>
        </w:rPr>
        <w:t>组织、指导、协调全</w:t>
      </w:r>
      <w:r>
        <w:rPr>
          <w:rFonts w:hint="eastAsia" w:eastAsia="仿宋_GB2312"/>
          <w:sz w:val="32"/>
          <w:szCs w:val="32"/>
          <w:highlight w:val="none"/>
        </w:rPr>
        <w:t>市</w:t>
      </w:r>
      <w:r>
        <w:rPr>
          <w:rFonts w:eastAsia="仿宋_GB2312"/>
          <w:sz w:val="32"/>
          <w:szCs w:val="32"/>
          <w:highlight w:val="none"/>
        </w:rPr>
        <w:t>教育系统和各级各类学校社会治 安综合治理和安全工作，指导和协调全</w:t>
      </w:r>
      <w:r>
        <w:rPr>
          <w:rFonts w:hint="eastAsia" w:eastAsia="仿宋_GB2312"/>
          <w:sz w:val="32"/>
          <w:szCs w:val="32"/>
          <w:highlight w:val="none"/>
        </w:rPr>
        <w:t>市</w:t>
      </w:r>
      <w:r>
        <w:rPr>
          <w:rFonts w:eastAsia="仿宋_GB2312"/>
          <w:sz w:val="32"/>
          <w:szCs w:val="32"/>
          <w:highlight w:val="none"/>
        </w:rPr>
        <w:t>教育系统维护稳定工作。</w:t>
      </w:r>
    </w:p>
    <w:p w14:paraId="77D247BF">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4</w:t>
      </w:r>
      <w:r>
        <w:rPr>
          <w:rFonts w:hint="eastAsia" w:eastAsia="仿宋_GB2312"/>
          <w:sz w:val="32"/>
          <w:szCs w:val="32"/>
          <w:highlight w:val="none"/>
          <w:lang w:eastAsia="zh-CN"/>
        </w:rPr>
        <w:t>、</w:t>
      </w:r>
      <w:r>
        <w:rPr>
          <w:rFonts w:eastAsia="仿宋_GB2312"/>
          <w:sz w:val="32"/>
          <w:szCs w:val="32"/>
          <w:highlight w:val="none"/>
        </w:rPr>
        <w:t>指导和管理全</w:t>
      </w:r>
      <w:r>
        <w:rPr>
          <w:rFonts w:hint="eastAsia" w:eastAsia="仿宋_GB2312"/>
          <w:sz w:val="32"/>
          <w:szCs w:val="32"/>
          <w:highlight w:val="none"/>
        </w:rPr>
        <w:t>市</w:t>
      </w:r>
      <w:r>
        <w:rPr>
          <w:rFonts w:eastAsia="仿宋_GB2312"/>
          <w:sz w:val="32"/>
          <w:szCs w:val="32"/>
          <w:highlight w:val="none"/>
        </w:rPr>
        <w:t>教育工作；按有关规定承办中等教育各 类学校的设置、更名、撤销与调整的审核、报批工作； 指导全</w:t>
      </w:r>
      <w:r>
        <w:rPr>
          <w:rFonts w:hint="eastAsia" w:eastAsia="仿宋_GB2312"/>
          <w:sz w:val="32"/>
          <w:szCs w:val="32"/>
          <w:highlight w:val="none"/>
        </w:rPr>
        <w:t>市</w:t>
      </w:r>
      <w:r>
        <w:rPr>
          <w:rFonts w:eastAsia="仿宋_GB2312"/>
          <w:sz w:val="32"/>
          <w:szCs w:val="32"/>
          <w:highlight w:val="none"/>
        </w:rPr>
        <w:t>各类教育教学改革和研究工作。</w:t>
      </w:r>
    </w:p>
    <w:p w14:paraId="4FE585C8">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5</w:t>
      </w:r>
      <w:r>
        <w:rPr>
          <w:rFonts w:hint="eastAsia" w:eastAsia="仿宋_GB2312"/>
          <w:sz w:val="32"/>
          <w:szCs w:val="32"/>
          <w:highlight w:val="none"/>
          <w:lang w:eastAsia="zh-CN"/>
        </w:rPr>
        <w:t>、</w:t>
      </w:r>
      <w:r>
        <w:rPr>
          <w:rFonts w:eastAsia="仿宋_GB2312"/>
          <w:sz w:val="32"/>
          <w:szCs w:val="32"/>
          <w:highlight w:val="none"/>
        </w:rPr>
        <w:t>协助组织部门管理</w:t>
      </w:r>
      <w:r>
        <w:rPr>
          <w:rFonts w:hint="eastAsia" w:eastAsia="仿宋_GB2312"/>
          <w:sz w:val="32"/>
          <w:szCs w:val="32"/>
          <w:highlight w:val="none"/>
        </w:rPr>
        <w:t>市</w:t>
      </w:r>
      <w:r>
        <w:rPr>
          <w:rFonts w:eastAsia="仿宋_GB2312"/>
          <w:sz w:val="32"/>
          <w:szCs w:val="32"/>
          <w:highlight w:val="none"/>
        </w:rPr>
        <w:t>属副科级以上事业单位领导班子和 领导干部;负责副科级以上</w:t>
      </w:r>
      <w:r>
        <w:rPr>
          <w:rFonts w:hint="eastAsia" w:eastAsia="仿宋_GB2312"/>
          <w:sz w:val="32"/>
          <w:szCs w:val="32"/>
          <w:highlight w:val="none"/>
        </w:rPr>
        <w:t>市</w:t>
      </w:r>
      <w:r>
        <w:rPr>
          <w:rFonts w:eastAsia="仿宋_GB2312"/>
          <w:sz w:val="32"/>
          <w:szCs w:val="32"/>
          <w:highlight w:val="none"/>
        </w:rPr>
        <w:t>属学校二层骨干、其他</w:t>
      </w:r>
      <w:r>
        <w:rPr>
          <w:rFonts w:hint="eastAsia" w:eastAsia="仿宋_GB2312"/>
          <w:sz w:val="32"/>
          <w:szCs w:val="32"/>
          <w:highlight w:val="none"/>
        </w:rPr>
        <w:t>市</w:t>
      </w:r>
      <w:r>
        <w:rPr>
          <w:rFonts w:eastAsia="仿宋_GB2312"/>
          <w:sz w:val="32"/>
          <w:szCs w:val="32"/>
          <w:highlight w:val="none"/>
        </w:rPr>
        <w:t>属学校</w:t>
      </w:r>
      <w:r>
        <w:rPr>
          <w:rFonts w:hint="eastAsia" w:eastAsia="仿宋_GB2312"/>
          <w:sz w:val="32"/>
          <w:szCs w:val="32"/>
          <w:highlight w:val="none"/>
          <w:lang w:eastAsia="zh-CN"/>
        </w:rPr>
        <w:t>、</w:t>
      </w:r>
      <w:r>
        <w:rPr>
          <w:rFonts w:eastAsia="仿宋_GB2312"/>
          <w:sz w:val="32"/>
          <w:szCs w:val="32"/>
          <w:highlight w:val="none"/>
        </w:rPr>
        <w:t>乡镇中学、中心小学领导班子和正副校长的考核、管理、任免、培训工作。</w:t>
      </w:r>
    </w:p>
    <w:p w14:paraId="474925A5">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6</w:t>
      </w:r>
      <w:r>
        <w:rPr>
          <w:rFonts w:hint="eastAsia" w:eastAsia="仿宋_GB2312"/>
          <w:sz w:val="32"/>
          <w:szCs w:val="32"/>
          <w:highlight w:val="none"/>
          <w:lang w:eastAsia="zh-CN"/>
        </w:rPr>
        <w:t>、</w:t>
      </w:r>
      <w:r>
        <w:rPr>
          <w:rFonts w:eastAsia="仿宋_GB2312"/>
          <w:sz w:val="32"/>
          <w:szCs w:val="32"/>
          <w:highlight w:val="none"/>
        </w:rPr>
        <w:t>主管全</w:t>
      </w:r>
      <w:r>
        <w:rPr>
          <w:rFonts w:hint="eastAsia" w:eastAsia="仿宋_GB2312"/>
          <w:sz w:val="32"/>
          <w:szCs w:val="32"/>
          <w:highlight w:val="none"/>
        </w:rPr>
        <w:t>市</w:t>
      </w:r>
      <w:r>
        <w:rPr>
          <w:rFonts w:eastAsia="仿宋_GB2312"/>
          <w:sz w:val="32"/>
          <w:szCs w:val="32"/>
          <w:highlight w:val="none"/>
        </w:rPr>
        <w:t>教师工作;协助编制部门管理中小学编制。</w:t>
      </w:r>
    </w:p>
    <w:p w14:paraId="16022E1F">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7</w:t>
      </w:r>
      <w:r>
        <w:rPr>
          <w:rFonts w:hint="eastAsia" w:eastAsia="仿宋_GB2312"/>
          <w:sz w:val="32"/>
          <w:szCs w:val="32"/>
          <w:highlight w:val="none"/>
          <w:lang w:eastAsia="zh-CN"/>
        </w:rPr>
        <w:t>、</w:t>
      </w:r>
      <w:r>
        <w:rPr>
          <w:rFonts w:eastAsia="仿宋_GB2312"/>
          <w:sz w:val="32"/>
          <w:szCs w:val="32"/>
          <w:highlight w:val="none"/>
        </w:rPr>
        <w:t>统筹管理各类全</w:t>
      </w:r>
      <w:r>
        <w:rPr>
          <w:rFonts w:hint="eastAsia" w:eastAsia="仿宋_GB2312"/>
          <w:sz w:val="32"/>
          <w:szCs w:val="32"/>
          <w:highlight w:val="none"/>
        </w:rPr>
        <w:t>市</w:t>
      </w:r>
      <w:r>
        <w:rPr>
          <w:rFonts w:eastAsia="仿宋_GB2312"/>
          <w:sz w:val="32"/>
          <w:szCs w:val="32"/>
          <w:highlight w:val="none"/>
        </w:rPr>
        <w:t>中小学、普通高校、成人高校的招生考试和学籍、学历工作。</w:t>
      </w:r>
    </w:p>
    <w:p w14:paraId="1EDE9540">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kern w:val="2"/>
          <w:sz w:val="32"/>
          <w:szCs w:val="32"/>
          <w:highlight w:val="none"/>
        </w:rPr>
        <w:t>8</w:t>
      </w:r>
      <w:r>
        <w:rPr>
          <w:rFonts w:hint="eastAsia" w:eastAsia="仿宋_GB2312"/>
          <w:kern w:val="2"/>
          <w:sz w:val="32"/>
          <w:szCs w:val="32"/>
          <w:highlight w:val="none"/>
          <w:lang w:eastAsia="zh-CN"/>
        </w:rPr>
        <w:t>、</w:t>
      </w:r>
      <w:r>
        <w:rPr>
          <w:rFonts w:eastAsia="仿宋_GB2312"/>
          <w:kern w:val="2"/>
          <w:sz w:val="32"/>
          <w:szCs w:val="32"/>
          <w:highlight w:val="none"/>
        </w:rPr>
        <w:t>指导管理全</w:t>
      </w:r>
      <w:r>
        <w:rPr>
          <w:rFonts w:hint="eastAsia" w:eastAsia="仿宋_GB2312"/>
          <w:kern w:val="2"/>
          <w:sz w:val="32"/>
          <w:szCs w:val="32"/>
          <w:highlight w:val="none"/>
        </w:rPr>
        <w:t>市</w:t>
      </w:r>
      <w:r>
        <w:rPr>
          <w:rFonts w:eastAsia="仿宋_GB2312"/>
          <w:kern w:val="2"/>
          <w:sz w:val="32"/>
          <w:szCs w:val="32"/>
          <w:highlight w:val="none"/>
        </w:rPr>
        <w:t>各级各类学校勤工俭学和电教仪器装备工作。</w:t>
      </w:r>
    </w:p>
    <w:p w14:paraId="1041DAED">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kern w:val="2"/>
          <w:sz w:val="32"/>
          <w:szCs w:val="32"/>
          <w:highlight w:val="none"/>
        </w:rPr>
        <w:t>9</w:t>
      </w:r>
      <w:r>
        <w:rPr>
          <w:rFonts w:hint="eastAsia" w:eastAsia="仿宋_GB2312"/>
          <w:kern w:val="2"/>
          <w:sz w:val="32"/>
          <w:szCs w:val="32"/>
          <w:highlight w:val="none"/>
          <w:lang w:eastAsia="zh-CN"/>
        </w:rPr>
        <w:t>、</w:t>
      </w:r>
      <w:r>
        <w:rPr>
          <w:rFonts w:eastAsia="仿宋_GB2312"/>
          <w:kern w:val="2"/>
          <w:sz w:val="32"/>
          <w:szCs w:val="32"/>
          <w:highlight w:val="none"/>
        </w:rPr>
        <w:t>管理全</w:t>
      </w:r>
      <w:r>
        <w:rPr>
          <w:rFonts w:hint="eastAsia" w:eastAsia="仿宋_GB2312"/>
          <w:kern w:val="2"/>
          <w:sz w:val="32"/>
          <w:szCs w:val="32"/>
          <w:highlight w:val="none"/>
        </w:rPr>
        <w:t>市</w:t>
      </w:r>
      <w:r>
        <w:rPr>
          <w:rFonts w:eastAsia="仿宋_GB2312"/>
          <w:kern w:val="2"/>
          <w:sz w:val="32"/>
          <w:szCs w:val="32"/>
          <w:highlight w:val="none"/>
        </w:rPr>
        <w:t>教育系统对外交流、援助与合作工作。</w:t>
      </w:r>
    </w:p>
    <w:p w14:paraId="5AC6D015">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kern w:val="2"/>
          <w:sz w:val="32"/>
          <w:szCs w:val="32"/>
          <w:highlight w:val="none"/>
        </w:rPr>
        <w:t>10</w:t>
      </w:r>
      <w:r>
        <w:rPr>
          <w:rFonts w:hint="eastAsia" w:eastAsia="仿宋_GB2312"/>
          <w:kern w:val="2"/>
          <w:sz w:val="32"/>
          <w:szCs w:val="32"/>
          <w:highlight w:val="none"/>
          <w:lang w:eastAsia="zh-CN"/>
        </w:rPr>
        <w:t>、</w:t>
      </w:r>
      <w:r>
        <w:rPr>
          <w:rFonts w:eastAsia="仿宋_GB2312"/>
          <w:kern w:val="2"/>
          <w:sz w:val="32"/>
          <w:szCs w:val="32"/>
          <w:highlight w:val="none"/>
        </w:rPr>
        <w:t>负责教育系统信息技术教育、校校通工程和校园网络的开发、建设、管理工作。</w:t>
      </w:r>
    </w:p>
    <w:p w14:paraId="3EF59191">
      <w:pPr>
        <w:keepNext w:val="0"/>
        <w:keepLines w:val="0"/>
        <w:pageBreakBefore w:val="0"/>
        <w:numPr>
          <w:ilvl w:val="0"/>
          <w:numId w:val="2"/>
        </w:numPr>
        <w:kinsoku/>
        <w:wordWrap/>
        <w:overflowPunct/>
        <w:topLinePunct w:val="0"/>
        <w:autoSpaceDE/>
        <w:autoSpaceDN/>
        <w:bidi w:val="0"/>
        <w:spacing w:line="560" w:lineRule="exact"/>
        <w:ind w:firstLine="643" w:firstLineChars="200"/>
        <w:textAlignment w:val="auto"/>
        <w:rPr>
          <w:rFonts w:ascii="Times New Roman" w:hAnsi="Times New Roman" w:eastAsia="楷体_GB2312" w:cs="Times New Roman"/>
          <w:b/>
          <w:bCs/>
          <w:sz w:val="32"/>
          <w:szCs w:val="32"/>
          <w:highlight w:val="none"/>
        </w:rPr>
      </w:pPr>
      <w:r>
        <w:rPr>
          <w:rFonts w:ascii="Times New Roman" w:hAnsi="Times New Roman" w:eastAsia="楷体_GB2312" w:cs="Times New Roman"/>
          <w:b/>
          <w:bCs/>
          <w:sz w:val="32"/>
          <w:szCs w:val="32"/>
          <w:highlight w:val="none"/>
        </w:rPr>
        <w:t>部门（单位）整体支出规模、使用方向和主要内容、涉及范围等</w:t>
      </w:r>
    </w:p>
    <w:p w14:paraId="106778DB">
      <w:pPr>
        <w:pStyle w:val="2"/>
        <w:keepNext w:val="0"/>
        <w:keepLines w:val="0"/>
        <w:pageBreakBefore w:val="0"/>
        <w:kinsoku/>
        <w:wordWrap/>
        <w:overflowPunct/>
        <w:topLinePunct w:val="0"/>
        <w:autoSpaceDE/>
        <w:autoSpaceDN/>
        <w:bidi w:val="0"/>
        <w:spacing w:before="185" w:line="560" w:lineRule="exact"/>
        <w:ind w:right="91" w:firstLine="635"/>
        <w:textAlignment w:val="auto"/>
        <w:rPr>
          <w:highlight w:val="none"/>
        </w:rPr>
      </w:pPr>
      <w:r>
        <w:rPr>
          <w:rFonts w:hint="eastAsia" w:eastAsia="仿宋_GB2312" w:asciiTheme="minorHAnsi" w:hAnsiTheme="minorHAnsi" w:cstheme="minorBidi"/>
          <w:sz w:val="32"/>
          <w:szCs w:val="32"/>
          <w:highlight w:val="none"/>
          <w:lang w:eastAsia="zh-CN"/>
        </w:rPr>
        <w:t>2023</w:t>
      </w:r>
      <w:r>
        <w:rPr>
          <w:rFonts w:eastAsia="仿宋_GB2312" w:asciiTheme="minorHAnsi" w:hAnsiTheme="minorHAnsi" w:cstheme="minorBidi"/>
          <w:sz w:val="32"/>
          <w:szCs w:val="32"/>
          <w:highlight w:val="none"/>
        </w:rPr>
        <w:t xml:space="preserve">年度总计支出 </w:t>
      </w:r>
      <w:r>
        <w:rPr>
          <w:rFonts w:hint="eastAsia" w:eastAsia="仿宋_GB2312" w:asciiTheme="minorHAnsi" w:hAnsiTheme="minorHAnsi" w:cstheme="minorBidi"/>
          <w:sz w:val="32"/>
          <w:szCs w:val="32"/>
          <w:highlight w:val="none"/>
          <w:lang w:val="en-US" w:eastAsia="zh-CN"/>
        </w:rPr>
        <w:t>110345.32</w:t>
      </w:r>
      <w:r>
        <w:rPr>
          <w:rFonts w:eastAsia="仿宋_GB2312" w:asciiTheme="minorHAnsi" w:hAnsiTheme="minorHAnsi" w:cstheme="minorBidi"/>
          <w:sz w:val="32"/>
          <w:szCs w:val="32"/>
          <w:highlight w:val="none"/>
        </w:rPr>
        <w:t>万元，其中：教育支出</w:t>
      </w:r>
      <w:r>
        <w:rPr>
          <w:rFonts w:hint="eastAsia" w:eastAsia="仿宋_GB2312" w:asciiTheme="minorHAnsi" w:hAnsiTheme="minorHAnsi" w:cstheme="minorBidi"/>
          <w:sz w:val="32"/>
          <w:szCs w:val="32"/>
          <w:highlight w:val="none"/>
          <w:lang w:val="en-US" w:eastAsia="zh-CN"/>
        </w:rPr>
        <w:t>97535.78</w:t>
      </w:r>
      <w:r>
        <w:rPr>
          <w:rFonts w:eastAsia="仿宋_GB2312" w:asciiTheme="minorHAnsi" w:hAnsiTheme="minorHAnsi" w:cstheme="minorBidi"/>
          <w:sz w:val="32"/>
          <w:szCs w:val="32"/>
          <w:highlight w:val="none"/>
        </w:rPr>
        <w:t>万元，社会保障和就业支出</w:t>
      </w:r>
      <w:r>
        <w:rPr>
          <w:rFonts w:hint="eastAsia" w:eastAsia="仿宋_GB2312" w:asciiTheme="minorHAnsi" w:hAnsiTheme="minorHAnsi" w:cstheme="minorBidi"/>
          <w:sz w:val="32"/>
          <w:szCs w:val="32"/>
          <w:highlight w:val="none"/>
          <w:lang w:val="en-US" w:eastAsia="zh-CN"/>
        </w:rPr>
        <w:t>9112.24</w:t>
      </w:r>
      <w:r>
        <w:rPr>
          <w:rFonts w:eastAsia="仿宋_GB2312" w:asciiTheme="minorHAnsi" w:hAnsiTheme="minorHAnsi" w:cstheme="minorBidi"/>
          <w:sz w:val="32"/>
          <w:szCs w:val="32"/>
          <w:highlight w:val="none"/>
        </w:rPr>
        <w:t>万元，卫生和健康支出</w:t>
      </w:r>
      <w:r>
        <w:rPr>
          <w:rFonts w:hint="eastAsia" w:eastAsia="仿宋_GB2312" w:asciiTheme="minorHAnsi" w:hAnsiTheme="minorHAnsi" w:cstheme="minorBidi"/>
          <w:sz w:val="32"/>
          <w:szCs w:val="32"/>
          <w:highlight w:val="none"/>
          <w:lang w:val="en-US" w:eastAsia="zh-CN"/>
        </w:rPr>
        <w:t>3687.30</w:t>
      </w:r>
      <w:r>
        <w:rPr>
          <w:rFonts w:eastAsia="仿宋_GB2312" w:asciiTheme="minorHAnsi" w:hAnsiTheme="minorHAnsi" w:cstheme="minorBidi"/>
          <w:sz w:val="32"/>
          <w:szCs w:val="32"/>
          <w:highlight w:val="none"/>
        </w:rPr>
        <w:t>万元，</w:t>
      </w:r>
      <w:r>
        <w:rPr>
          <w:rFonts w:hint="eastAsia" w:eastAsia="仿宋_GB2312" w:asciiTheme="minorHAnsi" w:hAnsiTheme="minorHAnsi" w:cstheme="minorBidi"/>
          <w:sz w:val="32"/>
          <w:szCs w:val="32"/>
          <w:highlight w:val="none"/>
          <w:lang w:val="en-US" w:eastAsia="zh-CN"/>
        </w:rPr>
        <w:t>其他支出10万元</w:t>
      </w:r>
      <w:r>
        <w:rPr>
          <w:rFonts w:hint="eastAsia" w:eastAsia="仿宋_GB2312" w:asciiTheme="minorHAnsi" w:hAnsiTheme="minorHAnsi" w:cstheme="minorBidi"/>
          <w:sz w:val="32"/>
          <w:szCs w:val="32"/>
          <w:highlight w:val="none"/>
        </w:rPr>
        <w:t>。</w:t>
      </w:r>
    </w:p>
    <w:p w14:paraId="10468AFC">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二、部门（单位）整体支出管理及使用情况</w:t>
      </w:r>
    </w:p>
    <w:p w14:paraId="30F92B69">
      <w:pPr>
        <w:keepNext w:val="0"/>
        <w:keepLines w:val="0"/>
        <w:pageBreakBefore w:val="0"/>
        <w:kinsoku/>
        <w:wordWrap/>
        <w:overflowPunct/>
        <w:topLinePunct w:val="0"/>
        <w:autoSpaceDE/>
        <w:autoSpaceDN/>
        <w:bidi w:val="0"/>
        <w:spacing w:line="560" w:lineRule="exact"/>
        <w:ind w:firstLine="660"/>
        <w:textAlignment w:val="auto"/>
        <w:rPr>
          <w:rFonts w:eastAsia="黑体"/>
          <w:sz w:val="32"/>
          <w:szCs w:val="32"/>
          <w:highlight w:val="none"/>
        </w:rPr>
      </w:pPr>
      <w:r>
        <w:rPr>
          <w:rFonts w:eastAsia="楷体_GB2312"/>
          <w:b/>
          <w:sz w:val="32"/>
          <w:szCs w:val="32"/>
          <w:highlight w:val="none"/>
        </w:rPr>
        <w:t>（一）基本支出：</w:t>
      </w:r>
      <w:r>
        <w:rPr>
          <w:rFonts w:hint="eastAsia" w:eastAsia="仿宋_GB2312"/>
          <w:sz w:val="32"/>
          <w:szCs w:val="32"/>
          <w:highlight w:val="none"/>
          <w:lang w:eastAsia="zh-CN"/>
        </w:rPr>
        <w:t>2023</w:t>
      </w:r>
      <w:r>
        <w:rPr>
          <w:rFonts w:eastAsia="仿宋_GB2312"/>
          <w:sz w:val="32"/>
          <w:szCs w:val="32"/>
          <w:highlight w:val="none"/>
        </w:rPr>
        <w:t>年本部门基本支出数</w:t>
      </w:r>
      <w:r>
        <w:rPr>
          <w:rFonts w:hint="eastAsia" w:eastAsia="仿宋_GB2312"/>
          <w:sz w:val="32"/>
          <w:szCs w:val="32"/>
          <w:highlight w:val="none"/>
          <w:lang w:val="en-US" w:eastAsia="zh-CN"/>
        </w:rPr>
        <w:t>95191.18</w:t>
      </w:r>
      <w:r>
        <w:rPr>
          <w:rFonts w:eastAsia="仿宋_GB2312"/>
          <w:sz w:val="32"/>
          <w:szCs w:val="32"/>
          <w:highlight w:val="none"/>
        </w:rPr>
        <w:t>万元，主要是为保障部门正常运转、完成日常工作任务而发生的各项支出，包括用于基本工资、津贴补贴等人员经费以及办公费、印刷费、水电费、办公设备购置等公用经费。</w:t>
      </w:r>
    </w:p>
    <w:p w14:paraId="2271E42B">
      <w:pPr>
        <w:keepNext w:val="0"/>
        <w:keepLines w:val="0"/>
        <w:pageBreakBefore w:val="0"/>
        <w:kinsoku/>
        <w:wordWrap/>
        <w:overflowPunct/>
        <w:topLinePunct w:val="0"/>
        <w:autoSpaceDE/>
        <w:autoSpaceDN/>
        <w:bidi w:val="0"/>
        <w:spacing w:line="560" w:lineRule="exact"/>
        <w:ind w:firstLine="660"/>
        <w:textAlignment w:val="auto"/>
        <w:rPr>
          <w:rFonts w:ascii="Times New Roman" w:hAnsi="Times New Roman" w:eastAsia="仿宋_GB2312" w:cs="Times New Roman"/>
          <w:b/>
          <w:bCs/>
          <w:sz w:val="32"/>
          <w:szCs w:val="32"/>
          <w:highlight w:val="none"/>
        </w:rPr>
      </w:pPr>
      <w:r>
        <w:rPr>
          <w:rFonts w:eastAsia="楷体_GB2312"/>
          <w:b/>
          <w:sz w:val="32"/>
          <w:szCs w:val="32"/>
          <w:highlight w:val="none"/>
        </w:rPr>
        <w:t>（二）项目支出：</w:t>
      </w:r>
      <w:r>
        <w:rPr>
          <w:rFonts w:hint="eastAsia" w:eastAsia="仿宋_GB2312"/>
          <w:sz w:val="32"/>
          <w:szCs w:val="32"/>
          <w:highlight w:val="none"/>
          <w:lang w:eastAsia="zh-CN"/>
        </w:rPr>
        <w:t>2023</w:t>
      </w:r>
      <w:r>
        <w:rPr>
          <w:rFonts w:eastAsia="仿宋_GB2312"/>
          <w:sz w:val="32"/>
          <w:szCs w:val="32"/>
          <w:highlight w:val="none"/>
        </w:rPr>
        <w:t>年本部门项目支出</w:t>
      </w:r>
      <w:r>
        <w:rPr>
          <w:rFonts w:hint="eastAsia" w:eastAsia="仿宋_GB2312"/>
          <w:sz w:val="32"/>
          <w:szCs w:val="32"/>
          <w:highlight w:val="none"/>
          <w:lang w:val="en-US" w:eastAsia="zh-CN"/>
        </w:rPr>
        <w:t>15154.14</w:t>
      </w:r>
      <w:r>
        <w:rPr>
          <w:rFonts w:eastAsia="仿宋_GB2312"/>
          <w:sz w:val="32"/>
          <w:szCs w:val="32"/>
          <w:highlight w:val="none"/>
        </w:rPr>
        <w:t>万元，主要是部门为完成特定行政工作任务或事业发展目标而发生的支出，包括有关事业发展专项、专项业务费、基本建设支出等</w:t>
      </w:r>
      <w:r>
        <w:rPr>
          <w:rFonts w:hint="eastAsia" w:eastAsia="仿宋_GB2312"/>
          <w:sz w:val="32"/>
          <w:szCs w:val="32"/>
          <w:highlight w:val="none"/>
        </w:rPr>
        <w:t>。</w:t>
      </w:r>
    </w:p>
    <w:p w14:paraId="6B29CF8A">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项目资金安排落实、总投入等情况分析</w:t>
      </w:r>
    </w:p>
    <w:p w14:paraId="64203EB5">
      <w:pPr>
        <w:keepNext w:val="0"/>
        <w:keepLines w:val="0"/>
        <w:pageBreakBefore w:val="0"/>
        <w:kinsoku/>
        <w:wordWrap/>
        <w:overflowPunct/>
        <w:topLinePunct w:val="0"/>
        <w:autoSpaceDE/>
        <w:autoSpaceDN/>
        <w:bidi w:val="0"/>
        <w:spacing w:line="560" w:lineRule="exact"/>
        <w:ind w:firstLine="640" w:firstLineChars="200"/>
        <w:textAlignment w:val="auto"/>
        <w:rPr>
          <w:rFonts w:hint="default" w:eastAsia="仿宋_GB2312"/>
          <w:sz w:val="32"/>
          <w:szCs w:val="32"/>
          <w:highlight w:val="none"/>
          <w:lang w:val="en-US" w:eastAsia="zh-CN"/>
        </w:rPr>
      </w:pPr>
      <w:r>
        <w:rPr>
          <w:rFonts w:hint="eastAsia" w:eastAsia="仿宋_GB2312"/>
          <w:sz w:val="32"/>
          <w:szCs w:val="32"/>
          <w:highlight w:val="none"/>
          <w:lang w:eastAsia="zh-CN"/>
        </w:rPr>
        <w:t>2023</w:t>
      </w:r>
      <w:r>
        <w:rPr>
          <w:rFonts w:eastAsia="仿宋_GB2312"/>
          <w:sz w:val="32"/>
          <w:szCs w:val="32"/>
          <w:highlight w:val="none"/>
        </w:rPr>
        <w:t>年本部门项目支出</w:t>
      </w:r>
      <w:r>
        <w:rPr>
          <w:rFonts w:hint="eastAsia" w:eastAsia="仿宋_GB2312"/>
          <w:sz w:val="32"/>
          <w:szCs w:val="32"/>
          <w:highlight w:val="none"/>
          <w:lang w:val="en-US" w:eastAsia="zh-CN"/>
        </w:rPr>
        <w:t>15154.14</w:t>
      </w:r>
      <w:r>
        <w:rPr>
          <w:rFonts w:eastAsia="仿宋_GB2312"/>
          <w:sz w:val="32"/>
          <w:szCs w:val="32"/>
          <w:highlight w:val="none"/>
        </w:rPr>
        <w:t>万元</w:t>
      </w:r>
      <w:r>
        <w:rPr>
          <w:rFonts w:hint="eastAsia" w:eastAsia="仿宋_GB2312"/>
          <w:sz w:val="32"/>
          <w:szCs w:val="32"/>
          <w:highlight w:val="none"/>
        </w:rPr>
        <w:t>，其中：</w:t>
      </w:r>
      <w:r>
        <w:rPr>
          <w:rFonts w:hint="eastAsia" w:eastAsia="仿宋_GB2312"/>
          <w:kern w:val="2"/>
          <w:sz w:val="32"/>
          <w:szCs w:val="32"/>
          <w:highlight w:val="none"/>
        </w:rPr>
        <w:t>教育事务支出</w:t>
      </w:r>
      <w:r>
        <w:rPr>
          <w:rFonts w:hint="eastAsia" w:eastAsia="仿宋_GB2312"/>
          <w:kern w:val="2"/>
          <w:sz w:val="32"/>
          <w:szCs w:val="32"/>
          <w:highlight w:val="none"/>
          <w:lang w:val="en-US" w:eastAsia="zh-CN"/>
        </w:rPr>
        <w:t>14188.07</w:t>
      </w:r>
      <w:r>
        <w:rPr>
          <w:rFonts w:hint="eastAsia" w:eastAsia="仿宋_GB2312"/>
          <w:kern w:val="2"/>
          <w:sz w:val="32"/>
          <w:szCs w:val="32"/>
          <w:highlight w:val="none"/>
        </w:rPr>
        <w:t>万元，职业教育发展支出</w:t>
      </w:r>
      <w:r>
        <w:rPr>
          <w:rFonts w:hint="eastAsia" w:eastAsia="仿宋_GB2312"/>
          <w:kern w:val="2"/>
          <w:sz w:val="32"/>
          <w:szCs w:val="32"/>
          <w:highlight w:val="none"/>
          <w:lang w:val="en-US" w:eastAsia="zh-CN"/>
        </w:rPr>
        <w:t>339.38</w:t>
      </w:r>
      <w:r>
        <w:rPr>
          <w:rFonts w:hint="eastAsia" w:eastAsia="仿宋_GB2312"/>
          <w:kern w:val="2"/>
          <w:sz w:val="32"/>
          <w:szCs w:val="32"/>
          <w:highlight w:val="none"/>
        </w:rPr>
        <w:t>万元，成人教育支出</w:t>
      </w:r>
      <w:r>
        <w:rPr>
          <w:rFonts w:hint="eastAsia" w:eastAsia="仿宋_GB2312"/>
          <w:kern w:val="2"/>
          <w:sz w:val="32"/>
          <w:szCs w:val="32"/>
          <w:highlight w:val="none"/>
          <w:lang w:val="en-US" w:eastAsia="zh-CN"/>
        </w:rPr>
        <w:t>616.69</w:t>
      </w:r>
      <w:r>
        <w:rPr>
          <w:rFonts w:hint="eastAsia" w:eastAsia="仿宋_GB2312"/>
          <w:kern w:val="2"/>
          <w:sz w:val="32"/>
          <w:szCs w:val="32"/>
          <w:highlight w:val="none"/>
        </w:rPr>
        <w:t>万元，城乡社区支出</w:t>
      </w:r>
      <w:r>
        <w:rPr>
          <w:rFonts w:hint="eastAsia" w:eastAsia="仿宋_GB2312"/>
          <w:kern w:val="2"/>
          <w:sz w:val="32"/>
          <w:szCs w:val="32"/>
          <w:highlight w:val="none"/>
          <w:lang w:val="en-US" w:eastAsia="zh-CN"/>
        </w:rPr>
        <w:t>10</w:t>
      </w:r>
      <w:r>
        <w:rPr>
          <w:rFonts w:hint="eastAsia" w:eastAsia="仿宋_GB2312"/>
          <w:kern w:val="2"/>
          <w:sz w:val="32"/>
          <w:szCs w:val="32"/>
          <w:highlight w:val="none"/>
        </w:rPr>
        <w:t>万元。</w:t>
      </w:r>
    </w:p>
    <w:p w14:paraId="3AC55DF7">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 xml:space="preserve">2. </w:t>
      </w:r>
      <w:r>
        <w:rPr>
          <w:rFonts w:ascii="Times New Roman" w:hAnsi="Times New Roman" w:eastAsia="仿宋_GB2312" w:cs="Times New Roman"/>
          <w:sz w:val="32"/>
          <w:szCs w:val="32"/>
          <w:highlight w:val="none"/>
        </w:rPr>
        <w:t>项目资金实际使用情况分析</w:t>
      </w:r>
    </w:p>
    <w:p w14:paraId="37C2313B">
      <w:pPr>
        <w:pStyle w:val="2"/>
        <w:keepNext w:val="0"/>
        <w:keepLines w:val="0"/>
        <w:pageBreakBefore w:val="0"/>
        <w:kinsoku/>
        <w:wordWrap/>
        <w:overflowPunct/>
        <w:topLinePunct w:val="0"/>
        <w:autoSpaceDE/>
        <w:autoSpaceDN/>
        <w:bidi w:val="0"/>
        <w:spacing w:line="560" w:lineRule="exact"/>
        <w:ind w:firstLine="640" w:firstLineChars="200"/>
        <w:textAlignment w:val="auto"/>
        <w:rPr>
          <w:highlight w:val="none"/>
        </w:rPr>
      </w:pPr>
      <w:r>
        <w:rPr>
          <w:rFonts w:hint="eastAsia" w:eastAsia="仿宋_GB2312"/>
          <w:sz w:val="32"/>
          <w:szCs w:val="32"/>
          <w:highlight w:val="none"/>
          <w:lang w:eastAsia="zh-CN"/>
        </w:rPr>
        <w:t>2023</w:t>
      </w:r>
      <w:r>
        <w:rPr>
          <w:rFonts w:eastAsia="仿宋_GB2312"/>
          <w:sz w:val="32"/>
          <w:szCs w:val="32"/>
          <w:highlight w:val="none"/>
        </w:rPr>
        <w:t>年本部门项目支出</w:t>
      </w:r>
      <w:r>
        <w:rPr>
          <w:rFonts w:hint="eastAsia" w:eastAsia="仿宋_GB2312"/>
          <w:sz w:val="32"/>
          <w:szCs w:val="32"/>
          <w:highlight w:val="none"/>
          <w:lang w:val="en-US" w:eastAsia="zh-CN"/>
        </w:rPr>
        <w:t>15154.14</w:t>
      </w:r>
      <w:r>
        <w:rPr>
          <w:rFonts w:eastAsia="仿宋_GB2312"/>
          <w:sz w:val="32"/>
          <w:szCs w:val="32"/>
          <w:highlight w:val="none"/>
        </w:rPr>
        <w:t>万元</w:t>
      </w:r>
      <w:r>
        <w:rPr>
          <w:rFonts w:hint="eastAsia" w:eastAsia="仿宋_GB2312"/>
          <w:sz w:val="32"/>
          <w:szCs w:val="32"/>
          <w:highlight w:val="none"/>
        </w:rPr>
        <w:t>，</w:t>
      </w:r>
      <w:r>
        <w:rPr>
          <w:rFonts w:hint="eastAsia" w:eastAsia="仿宋_GB2312" w:asciiTheme="minorHAnsi" w:hAnsiTheme="minorHAnsi" w:cstheme="minorBidi"/>
          <w:sz w:val="32"/>
          <w:szCs w:val="32"/>
          <w:highlight w:val="none"/>
        </w:rPr>
        <w:t>教育事务支出</w:t>
      </w:r>
      <w:r>
        <w:rPr>
          <w:rFonts w:hint="eastAsia" w:eastAsia="仿宋_GB2312"/>
          <w:kern w:val="2"/>
          <w:sz w:val="32"/>
          <w:szCs w:val="32"/>
          <w:highlight w:val="none"/>
          <w:lang w:val="en-US" w:eastAsia="zh-CN"/>
        </w:rPr>
        <w:t>14188.07</w:t>
      </w:r>
      <w:r>
        <w:rPr>
          <w:rFonts w:hint="eastAsia" w:eastAsia="仿宋_GB2312" w:asciiTheme="minorHAnsi" w:hAnsiTheme="minorHAnsi" w:cstheme="minorBidi"/>
          <w:sz w:val="32"/>
          <w:szCs w:val="32"/>
          <w:highlight w:val="none"/>
        </w:rPr>
        <w:t>万元，主要用于教育事务管理等方面；职业教育发展支出</w:t>
      </w:r>
      <w:r>
        <w:rPr>
          <w:rFonts w:hint="eastAsia" w:eastAsia="仿宋_GB2312"/>
          <w:kern w:val="2"/>
          <w:sz w:val="32"/>
          <w:szCs w:val="32"/>
          <w:highlight w:val="none"/>
          <w:lang w:val="en-US" w:eastAsia="zh-CN"/>
        </w:rPr>
        <w:t>339.38</w:t>
      </w:r>
      <w:r>
        <w:rPr>
          <w:rFonts w:hint="eastAsia" w:eastAsia="仿宋_GB2312" w:asciiTheme="minorHAnsi" w:hAnsiTheme="minorHAnsi" w:cstheme="minorBidi"/>
          <w:sz w:val="32"/>
          <w:szCs w:val="32"/>
          <w:highlight w:val="none"/>
        </w:rPr>
        <w:t>万元，主要用职业教育设备购置等方面；成人教育支出</w:t>
      </w:r>
      <w:r>
        <w:rPr>
          <w:rFonts w:hint="eastAsia" w:eastAsia="仿宋_GB2312"/>
          <w:kern w:val="2"/>
          <w:sz w:val="32"/>
          <w:szCs w:val="32"/>
          <w:highlight w:val="none"/>
          <w:lang w:val="en-US" w:eastAsia="zh-CN"/>
        </w:rPr>
        <w:t>616.69</w:t>
      </w:r>
      <w:r>
        <w:rPr>
          <w:rFonts w:hint="eastAsia" w:eastAsia="仿宋_GB2312" w:asciiTheme="minorHAnsi" w:hAnsiTheme="minorHAnsi" w:cstheme="minorBidi"/>
          <w:sz w:val="32"/>
          <w:szCs w:val="32"/>
          <w:highlight w:val="none"/>
        </w:rPr>
        <w:t>万元，主要用于成人教育培训等方面；城乡社区支出</w:t>
      </w:r>
      <w:r>
        <w:rPr>
          <w:rFonts w:hint="eastAsia" w:eastAsia="仿宋_GB2312"/>
          <w:kern w:val="2"/>
          <w:sz w:val="32"/>
          <w:szCs w:val="32"/>
          <w:highlight w:val="none"/>
          <w:lang w:val="en-US" w:eastAsia="zh-CN"/>
        </w:rPr>
        <w:t>10</w:t>
      </w:r>
      <w:r>
        <w:rPr>
          <w:rFonts w:hint="eastAsia" w:eastAsia="仿宋_GB2312" w:asciiTheme="minorHAnsi" w:hAnsiTheme="minorHAnsi" w:cstheme="minorBidi"/>
          <w:sz w:val="32"/>
          <w:szCs w:val="32"/>
          <w:highlight w:val="none"/>
        </w:rPr>
        <w:t>万元，主要用于教育资产管理等方面。</w:t>
      </w:r>
    </w:p>
    <w:p w14:paraId="3274BCB8">
      <w:pPr>
        <w:keepNext w:val="0"/>
        <w:keepLines w:val="0"/>
        <w:pageBreakBefore w:val="0"/>
        <w:numPr>
          <w:ilvl w:val="0"/>
          <w:numId w:val="3"/>
        </w:numPr>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项目资金管理情况分析</w:t>
      </w:r>
    </w:p>
    <w:p w14:paraId="48D6B16E">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highlight w:val="none"/>
        </w:rPr>
      </w:pPr>
      <w:r>
        <w:rPr>
          <w:rFonts w:hint="eastAsia" w:eastAsia="仿宋_GB2312" w:asciiTheme="minorHAnsi" w:hAnsiTheme="minorHAnsi" w:cstheme="minorBidi"/>
          <w:kern w:val="2"/>
          <w:sz w:val="32"/>
          <w:szCs w:val="32"/>
          <w:highlight w:val="none"/>
        </w:rPr>
        <w:t>按照省、市、县财政专项资金管理办法，制订了建设项目管理制度、项目资金管理制度、严格按照审批程序支付专项资金，严格管控建设成本和质量管控，加强支出审核控制，全面审核各类单据。各项专项资金，做到了及时到位，专款专用，无截留、卡扣、占用和挪用等情况，财务制度健全，会计核算规范，支付依据合规。</w:t>
      </w:r>
    </w:p>
    <w:p w14:paraId="680690F1">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三、部门（单位）整体支出绩效目标完成及效益情况</w:t>
      </w:r>
    </w:p>
    <w:p w14:paraId="66526C06">
      <w:pPr>
        <w:adjustRightInd w:val="0"/>
        <w:snapToGrid w:val="0"/>
        <w:spacing w:line="540" w:lineRule="exact"/>
        <w:ind w:firstLine="643" w:firstLineChars="200"/>
        <w:rPr>
          <w:rFonts w:ascii="仿宋_GB2312" w:hAnsi="仿宋_GB2312" w:eastAsia="仿宋_GB2312" w:cs="仿宋_GB2312"/>
          <w:sz w:val="32"/>
          <w:szCs w:val="32"/>
          <w:highlight w:val="none"/>
        </w:rPr>
      </w:pPr>
      <w:r>
        <w:rPr>
          <w:rFonts w:hint="eastAsia" w:ascii="楷体_GB2312" w:hAnsi="黑体" w:eastAsia="楷体_GB2312" w:cs="Times New Roman"/>
          <w:b/>
          <w:bCs/>
          <w:sz w:val="32"/>
          <w:szCs w:val="32"/>
          <w:highlight w:val="none"/>
        </w:rPr>
        <w:t>一是</w:t>
      </w:r>
      <w:r>
        <w:rPr>
          <w:rFonts w:hint="eastAsia" w:ascii="楷体_GB2312" w:hAnsi="宋体" w:eastAsia="楷体_GB2312" w:cs="Times New Roman"/>
          <w:b/>
          <w:sz w:val="32"/>
          <w:szCs w:val="32"/>
          <w:highlight w:val="none"/>
        </w:rPr>
        <w:t>教育优先发展力度更大。</w:t>
      </w:r>
      <w:r>
        <w:rPr>
          <w:rFonts w:hint="eastAsia" w:ascii="仿宋_GB2312" w:hAnsi="等线" w:eastAsia="仿宋_GB2312" w:cs="仿宋_GB2312"/>
          <w:kern w:val="2"/>
          <w:sz w:val="32"/>
          <w:szCs w:val="32"/>
          <w:highlight w:val="none"/>
          <w:lang w:bidi="ar"/>
        </w:rPr>
        <w:t>积极主动</w:t>
      </w:r>
      <w:r>
        <w:rPr>
          <w:rFonts w:hint="eastAsia" w:ascii="仿宋_GB2312" w:hAnsi="等线" w:eastAsia="仿宋_GB2312" w:cs="Times New Roman"/>
          <w:color w:val="000000"/>
          <w:sz w:val="32"/>
          <w:szCs w:val="32"/>
          <w:highlight w:val="none"/>
        </w:rPr>
        <w:t>响应党中央、国务院关于“加快建设教育强国”和省委、省政府关于“加快建设教育强省”的决策部署,全力推进教育强市建设，出台祁阳市《深化新时代教育督导体制机制改革的实施方案》《规范民办义务教育发展工作实施方案》等重要文件，为教育强市建设提供了强有力的政策保障。</w:t>
      </w:r>
      <w:r>
        <w:rPr>
          <w:rFonts w:hint="eastAsia" w:ascii="仿宋_GB2312" w:hAnsi="仿宋_GB2312" w:eastAsia="仿宋_GB2312" w:cs="仿宋_GB2312"/>
          <w:sz w:val="32"/>
          <w:szCs w:val="32"/>
          <w:highlight w:val="none"/>
        </w:rPr>
        <w:t>推动召开市委常委会、市政府常务会、市委常委议教会10次，组织召开市委教育工作领导小组会议6次，有力推动了规范民办义务教育发展、落实教师岗位等级工资、高考标准化考点建设、永州高科职业技术学院建设等一批教育热点、难点问题的解决。积极主动联系市级领导和各职能部门帮扶各中小学校，累计帮助学校办成好事实事187件，落实帮扶资金1300余万元。出台《祁阳市推进中小学建设党组织领导的校长负责制实施方案（试行）》，积极稳妥推进96所中小学校实施党组织领导的校长负责制，调优中小学校党组织书记41人。扎实推进民办学校党组织组建攻坚行动，派遣党建指导员80余名，指导民办学校加强党组织建设，实现民办学校党的组织和党的工作全覆盖。持续推进“四培养两打造”工程和“党建+大思政课”建设，推动党建与思政教育深度融合、互促共进。祁阳市教育局</w:t>
      </w:r>
      <w:r>
        <w:rPr>
          <w:rFonts w:ascii="仿宋_GB2312" w:eastAsia="仿宋_GB2312"/>
          <w:sz w:val="32"/>
          <w:szCs w:val="32"/>
          <w:highlight w:val="none"/>
        </w:rPr>
        <w:t>成功申报湖南省第二批校外培训综合治理“建立校外培训机构党建工作指导员制度”改革试点单位。</w:t>
      </w:r>
      <w:r>
        <w:rPr>
          <w:rFonts w:hint="eastAsia" w:ascii="仿宋_GB2312" w:hAnsi="仿宋_GB2312" w:eastAsia="仿宋_GB2312" w:cs="仿宋_GB2312"/>
          <w:sz w:val="32"/>
          <w:szCs w:val="32"/>
          <w:highlight w:val="none"/>
        </w:rPr>
        <w:t>围绕教育重点工作组织开展常规督导、专项督导和综合评估，推动“双减”工作、规范办学行为、劳动教育、教学常规管理、师德师风建设、心理健康教育、校园安全管理等工作落实落地。今年以来，成立工作专班，对各中小学校开展常规教育教学专项督查6次，累计督查学校70余所、听课300余节、检查教案作业800余份、下发督查通报6份，有效促进全市教育教学整体水平的提升。</w:t>
      </w:r>
    </w:p>
    <w:p w14:paraId="3EA4F0FF">
      <w:pPr>
        <w:adjustRightInd w:val="0"/>
        <w:snapToGrid w:val="0"/>
        <w:spacing w:line="540" w:lineRule="exact"/>
        <w:ind w:firstLine="643" w:firstLineChars="200"/>
        <w:rPr>
          <w:rFonts w:ascii="仿宋_GB2312" w:hAnsi="仿宋_GB2312" w:eastAsia="仿宋_GB2312" w:cs="仿宋_GB2312"/>
          <w:sz w:val="32"/>
          <w:szCs w:val="32"/>
          <w:highlight w:val="none"/>
        </w:rPr>
      </w:pPr>
      <w:r>
        <w:rPr>
          <w:rFonts w:hint="eastAsia" w:ascii="楷体_GB2312" w:hAnsi="黑体" w:eastAsia="楷体_GB2312" w:cs="Times New Roman"/>
          <w:b/>
          <w:bCs/>
          <w:sz w:val="32"/>
          <w:szCs w:val="32"/>
          <w:highlight w:val="none"/>
        </w:rPr>
        <w:t>二是</w:t>
      </w:r>
      <w:r>
        <w:rPr>
          <w:rFonts w:hint="eastAsia" w:ascii="楷体_GB2312" w:hAnsi="??" w:eastAsia="楷体_GB2312" w:cs="宋体"/>
          <w:b/>
          <w:sz w:val="32"/>
          <w:szCs w:val="32"/>
          <w:highlight w:val="none"/>
        </w:rPr>
        <w:t>教育协调发展水平更高。</w:t>
      </w:r>
      <w:r>
        <w:rPr>
          <w:rFonts w:hint="eastAsia" w:ascii="仿宋_GB2312" w:hAnsi="仿宋_GB2312" w:eastAsia="仿宋_GB2312" w:cs="仿宋_GB2312"/>
          <w:sz w:val="32"/>
          <w:szCs w:val="32"/>
          <w:highlight w:val="none"/>
        </w:rPr>
        <w:t>坚持统筹兼顾、整体推进，积极构建各类教育全面协调、齐头并进的发展格局，不断扩大优质教育资源覆盖面。</w:t>
      </w:r>
      <w:r>
        <w:rPr>
          <w:rFonts w:hint="eastAsia" w:ascii="仿宋_GB2312" w:hAnsi="仿宋_GB2312" w:eastAsia="仿宋_GB2312" w:cs="仿宋_GB2312"/>
          <w:b/>
          <w:bCs/>
          <w:sz w:val="32"/>
          <w:szCs w:val="32"/>
          <w:highlight w:val="none"/>
        </w:rPr>
        <w:t>一是学前教育普惠提质。</w:t>
      </w:r>
      <w:r>
        <w:rPr>
          <w:rFonts w:hint="eastAsia" w:ascii="仿宋_GB2312" w:hAnsi="仿宋_GB2312" w:eastAsia="仿宋_GB2312" w:cs="仿宋_GB2312"/>
          <w:sz w:val="32"/>
          <w:szCs w:val="32"/>
          <w:highlight w:val="none"/>
        </w:rPr>
        <w:t>龙山街道第二中心幼儿园开班招生，新增城区公办幼儿园学位320个。全市公办园在园幼儿占比57.85%，普惠性幼儿园覆盖率92.5%。出台《祁阳市2023年幼小衔接工作方案》，统一小学一年级教学进度，严格落实“零起点”教学制度，确保每一个孩子同起步、不掉队。</w:t>
      </w:r>
      <w:r>
        <w:rPr>
          <w:rFonts w:hint="eastAsia" w:ascii="仿宋_GB2312" w:hAnsi="仿宋_GB2312" w:eastAsia="仿宋_GB2312" w:cs="仿宋_GB2312"/>
          <w:b/>
          <w:bCs/>
          <w:sz w:val="32"/>
          <w:szCs w:val="32"/>
          <w:highlight w:val="none"/>
        </w:rPr>
        <w:t>二是义务教育更加优质均衡。</w:t>
      </w:r>
      <w:r>
        <w:rPr>
          <w:rFonts w:hint="eastAsia" w:ascii="仿宋_GB2312" w:hAnsi="仿宋_GB2312" w:eastAsia="仿宋_GB2312" w:cs="仿宋_GB2312"/>
          <w:color w:val="000000"/>
          <w:sz w:val="32"/>
          <w:szCs w:val="32"/>
          <w:highlight w:val="none"/>
        </w:rPr>
        <w:t>提质改造标准化寄宿制学校13所、小规模学校10所，对46所薄弱学校进行维修改造与能力提升，对浯溪一中等29所学校的师生澡堂进行提质改造，对龚家坪镇一中等8所学校的食堂进行标准化改造，对浯溪二中等50所学校的厕所实施提质改造和维修，城乡学校环境得到极大改善。</w:t>
      </w:r>
      <w:r>
        <w:rPr>
          <w:rFonts w:hint="eastAsia" w:ascii="仿宋_GB2312" w:hAnsi="仿宋_GB2312" w:eastAsia="仿宋_GB2312" w:cs="仿宋_GB2312"/>
          <w:sz w:val="32"/>
          <w:szCs w:val="32"/>
          <w:highlight w:val="none"/>
        </w:rPr>
        <w:t>推进“智慧教育”建设，建成新型农村网络联校主校36所，听讲分校105所，农村教学点网络联校覆盖率100%。建立健全市、镇（街道）、村、校“四位一体”的控辍保学机制，扎实开展“三帮一”劝返复学行动，全市义务教育巩固率100%，适龄儿童无一因贫辍学失学。</w:t>
      </w:r>
      <w:r>
        <w:rPr>
          <w:rFonts w:hint="eastAsia" w:ascii="仿宋_GB2312" w:hAnsi="仿宋_GB2312" w:eastAsia="仿宋_GB2312" w:cs="仿宋_GB2312"/>
          <w:b/>
          <w:bCs/>
          <w:sz w:val="32"/>
          <w:szCs w:val="32"/>
          <w:highlight w:val="none"/>
        </w:rPr>
        <w:t>三是普高教育更加优质。</w:t>
      </w:r>
      <w:r>
        <w:rPr>
          <w:rFonts w:hint="eastAsia" w:ascii="仿宋_GB2312" w:hAnsi="仿宋_GB2312" w:eastAsia="仿宋_GB2312" w:cs="仿宋_GB2312"/>
          <w:sz w:val="32"/>
          <w:szCs w:val="32"/>
          <w:highlight w:val="none"/>
        </w:rPr>
        <w:t>大力推进祁阳一中“徐特立项目”建设，加快推进县域普通高中标准化建设，持续改善普高学校办学条件。深入实施“一届高考全程抓”战略，积极推进新高考改革教学研究团队建设，狠抓复习备考和教学视导，促进了高考质量稳步提升。2023年高考，</w:t>
      </w:r>
      <w:r>
        <w:rPr>
          <w:rFonts w:ascii="仿宋_GB2312" w:eastAsia="仿宋_GB2312"/>
          <w:sz w:val="32"/>
          <w:szCs w:val="32"/>
          <w:highlight w:val="none"/>
        </w:rPr>
        <w:t>全市本科上线4190人，</w:t>
      </w:r>
      <w:r>
        <w:rPr>
          <w:rFonts w:hint="eastAsia" w:ascii="仿宋_GB2312" w:eastAsia="仿宋_GB2312"/>
          <w:sz w:val="32"/>
          <w:szCs w:val="32"/>
          <w:highlight w:val="none"/>
        </w:rPr>
        <w:t>其中</w:t>
      </w:r>
      <w:r>
        <w:rPr>
          <w:rFonts w:ascii="仿宋_GB2312" w:eastAsia="仿宋_GB2312"/>
          <w:sz w:val="32"/>
          <w:szCs w:val="32"/>
          <w:highlight w:val="none"/>
        </w:rPr>
        <w:t>特殊类本科上线2217人，600分以上高分段人数达310人</w:t>
      </w:r>
      <w:r>
        <w:rPr>
          <w:rFonts w:hint="eastAsia" w:ascii="仿宋_GB2312" w:eastAsia="仿宋_GB2312"/>
          <w:sz w:val="32"/>
          <w:szCs w:val="32"/>
          <w:highlight w:val="none"/>
        </w:rPr>
        <w:t>，被</w:t>
      </w:r>
      <w:r>
        <w:rPr>
          <w:rFonts w:ascii="仿宋_GB2312" w:eastAsia="仿宋_GB2312"/>
          <w:sz w:val="32"/>
          <w:szCs w:val="32"/>
          <w:highlight w:val="none"/>
        </w:rPr>
        <w:t>清北录取3人，4人被录取为空军飞行学员</w:t>
      </w:r>
      <w:r>
        <w:rPr>
          <w:rFonts w:hint="eastAsia" w:ascii="仿宋_GB2312" w:eastAsia="仿宋_GB2312"/>
          <w:sz w:val="32"/>
          <w:szCs w:val="32"/>
          <w:highlight w:val="none"/>
        </w:rPr>
        <w:t>。</w:t>
      </w:r>
      <w:r>
        <w:rPr>
          <w:rFonts w:hint="eastAsia" w:ascii="仿宋_GB2312" w:hAnsi="仿宋_GB2312" w:eastAsia="仿宋_GB2312" w:cs="仿宋_GB2312"/>
          <w:b/>
          <w:bCs/>
          <w:sz w:val="32"/>
          <w:szCs w:val="32"/>
          <w:highlight w:val="none"/>
        </w:rPr>
        <w:t>四是职业教育蓬勃发展。</w:t>
      </w:r>
      <w:r>
        <w:rPr>
          <w:rFonts w:hint="eastAsia" w:ascii="仿宋_GB2312" w:hAnsi="仿宋_GB2312" w:eastAsia="仿宋_GB2312" w:cs="仿宋_GB2312"/>
          <w:sz w:val="32"/>
          <w:szCs w:val="32"/>
          <w:highlight w:val="none"/>
        </w:rPr>
        <w:t>市职业中专学生突破1.2万人，顺利完成办学条件达标建设和“楚怡”中职学校改扩建任务，学校成功创建“全国第一批职业院校数字校园建设试点学校”“湖南省‘楚怡’优质中职学校建设计划单位（A档）”。永州高科职业技术学院创建项目已开工建设。</w:t>
      </w:r>
    </w:p>
    <w:p w14:paraId="587BF492">
      <w:pPr>
        <w:adjustRightInd w:val="0"/>
        <w:snapToGrid w:val="0"/>
        <w:spacing w:line="540" w:lineRule="exact"/>
        <w:ind w:firstLine="643" w:firstLineChars="200"/>
        <w:rPr>
          <w:highlight w:val="none"/>
        </w:rPr>
      </w:pPr>
      <w:r>
        <w:rPr>
          <w:rFonts w:hint="eastAsia" w:ascii="楷体_GB2312" w:hAnsi="黑体" w:eastAsia="楷体_GB2312" w:cs="Times New Roman"/>
          <w:b/>
          <w:bCs/>
          <w:sz w:val="32"/>
          <w:szCs w:val="32"/>
          <w:highlight w:val="none"/>
        </w:rPr>
        <w:t>三是</w:t>
      </w:r>
      <w:r>
        <w:rPr>
          <w:rFonts w:hint="eastAsia" w:ascii="楷体_GB2312" w:hAnsi="宋体" w:eastAsia="楷体_GB2312" w:cs="Times New Roman"/>
          <w:b/>
          <w:sz w:val="32"/>
          <w:szCs w:val="32"/>
          <w:highlight w:val="none"/>
        </w:rPr>
        <w:t>教育改革发展环境更好。</w:t>
      </w:r>
      <w:r>
        <w:rPr>
          <w:rFonts w:hint="eastAsia" w:ascii="仿宋_GB2312" w:hAnsi="仿宋_GB2312" w:eastAsia="仿宋_GB2312" w:cs="仿宋_GB2312"/>
          <w:kern w:val="2"/>
          <w:sz w:val="32"/>
          <w:szCs w:val="32"/>
          <w:highlight w:val="none"/>
        </w:rPr>
        <w:t>教育评价改革走深走实，创新实施教师“县管校聘”改革、育人模式改革、质量评价改革等5个改革特色项目，出台《祁阳市教育评价改革“十不得一严禁”负面清单》，坚决纠正少数学校将升学率作为教师评优评先的依据、炒作高考“状元”等违规行为，有效破除了“五唯”顽瘴痼疾。“双减”工作落地落实，推进课后服务“5+2”模式，实现中小学校全覆盖；扎实开展整治校外违规培训攻坚行动，注销校外培训机构45个，转型义务教育阶段学科类培训机构40个，对教培资金进行全流程全方位监管，有效净化了校外培训市场，经验做法得到教育部《“双减”改革每日快报》专题推介，得到省教育厅《“双减”改革每周专报》3次宣传推介。教育助推乡村振兴工作成效显著，全年累计发放国家助学金5950万元，惠及师生74268人次；募集社会力量捐助资金约1791.5万元，惠及师生5491人次，实现精准资助、应助尽助。教育改革亮点频出，创新推进小规模学校数字化建设工作被央视《新闻联播》头条播报；《湖南省祁阳市：在行走的课堂读懂好时节》被《光明日报》纸质版刊发报道；祁阳市三举措创新推动小规模学校数字化建设，被省政府办公厅《政务要情与交流》（第48期）采用推介；祁阳市积极推进小规模学校教育数字化转型，被《湖南教育快讯》第9期(总第426期)采用推介；祁阳市《数字化“极简”应用助力乡村教育发展》被评为湖南省首届基础教育创新案例；祁阳市《答好“课后服务”育人卷 推动“双减”提质增效》被评为省“双减”工作校内提质减负典型案例；《祁阳市充分用好本土红色资源推动中小学思政教育走深走实》被省委办公厅《要情汇报》233期刊登。</w:t>
      </w:r>
    </w:p>
    <w:p w14:paraId="7D2FB861">
      <w:pPr>
        <w:spacing w:line="54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四是积极践行“五育”并举，深入实施素质教育。</w:t>
      </w:r>
      <w:r>
        <w:rPr>
          <w:rFonts w:hint="eastAsia" w:ascii="仿宋_GB2312" w:hAnsi="仿宋_GB2312" w:eastAsia="仿宋_GB2312" w:cs="仿宋_GB2312"/>
          <w:sz w:val="32"/>
          <w:szCs w:val="32"/>
          <w:highlight w:val="none"/>
        </w:rPr>
        <w:t>聚焦立德树人根本任务，强化思政引领，落实素质教育，努力培养德智体美劳全面发展的社会主义建设者和接班人。</w:t>
      </w:r>
      <w:r>
        <w:rPr>
          <w:rFonts w:hint="eastAsia" w:ascii="仿宋_GB2312" w:hAnsi="仿宋_GB2312" w:eastAsia="仿宋_GB2312" w:cs="仿宋_GB2312"/>
          <w:b/>
          <w:bCs/>
          <w:sz w:val="32"/>
          <w:szCs w:val="32"/>
          <w:highlight w:val="none"/>
        </w:rPr>
        <w:t>一是思政工作全面加强。</w:t>
      </w:r>
      <w:r>
        <w:rPr>
          <w:rFonts w:hint="eastAsia" w:ascii="仿宋_GB2312" w:hAnsi="仿宋_GB2312" w:eastAsia="仿宋_GB2312" w:cs="仿宋_GB2312"/>
          <w:sz w:val="32"/>
          <w:szCs w:val="32"/>
          <w:highlight w:val="none"/>
        </w:rPr>
        <w:t>大力推进红色教育进校园，广泛开展讲红色故事、唱红色歌曲、体验“红军餐”等“十个一”系列红色活动，打造潘市红军学校、长虹街道明德小学等一批红色教育示范学校。将学习《习近平新时代中国特色社会主义思想学生读本》作为中小学校必修课，实现计划、课时、教材、师资“四到位”。积极推进“大思政课”建设，创办《理响永州·思政课·祁阳》栏目，推出的6期思政“金课”全网浏览量突破8500万次，被《光明日报》《湖南日报》等主流媒体高频次宣传推介；《湖南祁阳：“大思政课”助推教育高质量发展》被新华社每日电讯宣传报道，</w:t>
      </w:r>
      <w:r>
        <w:rPr>
          <w:rFonts w:hint="eastAsia" w:ascii="仿宋_GB2312" w:hAnsi="仿宋_GB2312" w:eastAsia="仿宋_GB2312" w:cs="仿宋_GB2312"/>
          <w:kern w:val="2"/>
          <w:sz w:val="32"/>
          <w:szCs w:val="32"/>
          <w:highlight w:val="none"/>
        </w:rPr>
        <w:t>《祁阳市充分用好本土红色资源推动中小学思政教育走深走实》被省委办公厅《要情汇报》233期刊登。</w:t>
      </w:r>
      <w:r>
        <w:rPr>
          <w:rFonts w:hint="eastAsia" w:ascii="仿宋_GB2312" w:hAnsi="宋体" w:eastAsia="仿宋_GB2312" w:cs="仿宋_GB2312"/>
          <w:b/>
          <w:bCs/>
          <w:sz w:val="32"/>
          <w:szCs w:val="32"/>
          <w:highlight w:val="none"/>
          <w:lang w:bidi="ar"/>
        </w:rPr>
        <w:t>二是一校一品深入推进。</w:t>
      </w:r>
      <w:r>
        <w:rPr>
          <w:rFonts w:hint="eastAsia" w:ascii="仿宋_GB2312" w:hAnsi="仿宋_GB2312" w:eastAsia="仿宋_GB2312" w:cs="仿宋_GB2312"/>
          <w:sz w:val="32"/>
          <w:szCs w:val="32"/>
          <w:highlight w:val="none"/>
        </w:rPr>
        <w:t>广泛开展“六声”教育、书香校园、国学教育等素质教育活动，促进学生全面发展。开展“爱·悦·读”二十四节气主题读书会，在全市掀起“爱读书、读好书、善读书”的热潮。朗诵节目《我们爱·悦·读》被湖南省首届青少年读书行动启动仪式连线直播，《湖南省祁阳市：在行走的课堂读懂好时节》被光明日报纸质版刊登报道。推进小规模学校数字化建设工作经验被央视《新闻联播》头条播报，被省人民政府《政务要情与交流》、省教育厅《湖南教育快讯》采用推介。</w:t>
      </w:r>
      <w:r>
        <w:rPr>
          <w:rFonts w:hint="eastAsia" w:ascii="仿宋_GB2312" w:hAnsi="仿宋_GB2312" w:eastAsia="仿宋_GB2312" w:cs="仿宋_GB2312"/>
          <w:b/>
          <w:bCs/>
          <w:sz w:val="32"/>
          <w:szCs w:val="32"/>
          <w:highlight w:val="none"/>
        </w:rPr>
        <w:t>三是艺术教育协同发展。</w:t>
      </w:r>
      <w:r>
        <w:rPr>
          <w:rFonts w:hint="eastAsia" w:ascii="仿宋_GB2312" w:hAnsi="仿宋_GB2312" w:eastAsia="仿宋_GB2312" w:cs="仿宋_GB2312"/>
          <w:sz w:val="32"/>
          <w:szCs w:val="32"/>
          <w:highlight w:val="none"/>
        </w:rPr>
        <w:t>坚持以体树人、以美育人，配备专（兼）职音体美教师800余名，建成田径运动场127个，基本满足各中小学校体育美育教学的需要。扎实开展阳光体育运动，建制班合唱比赛，中小学（幼儿园）艺术节、运动会等活动，增强学生身体素质，提升学生艺术素养。</w:t>
      </w:r>
      <w:r>
        <w:rPr>
          <w:rFonts w:hint="eastAsia" w:ascii="仿宋_GB2312" w:hAnsi="仿宋_GB2312" w:eastAsia="仿宋_GB2312" w:cs="仿宋_GB2312"/>
          <w:b/>
          <w:bCs/>
          <w:sz w:val="32"/>
          <w:szCs w:val="32"/>
          <w:highlight w:val="none"/>
        </w:rPr>
        <w:t>四是劳动教育提质增效。</w:t>
      </w:r>
      <w:r>
        <w:rPr>
          <w:rFonts w:hint="eastAsia" w:ascii="仿宋_GB2312" w:hAnsi="仿宋_GB2312" w:eastAsia="仿宋_GB2312" w:cs="仿宋_GB2312"/>
          <w:sz w:val="32"/>
          <w:szCs w:val="32"/>
          <w:highlight w:val="none"/>
        </w:rPr>
        <w:t>出台《祁阳市中小学劳动教育工作方案》，鼓励学校开辟校内劳动教育实践基地，支持校外劳动教育实践基地建设，引导学生崇尚劳动、尊重劳动、热爱劳动、积极参与劳动。打造祁阳七中、文昌中学、文明铺镇高码头完小等20余个示范性校内劳动教育实践基地。</w:t>
      </w:r>
      <w:r>
        <w:rPr>
          <w:rFonts w:hint="eastAsia" w:ascii="仿宋_GB2312" w:hAnsi="仿宋_GB2312" w:eastAsia="仿宋_GB2312" w:cs="仿宋_GB2312"/>
          <w:b/>
          <w:bCs/>
          <w:sz w:val="32"/>
          <w:szCs w:val="32"/>
          <w:highlight w:val="none"/>
        </w:rPr>
        <w:t>五是心健教育成效显著。</w:t>
      </w:r>
      <w:r>
        <w:rPr>
          <w:rFonts w:hint="eastAsia" w:ascii="仿宋_GB2312" w:hAnsi="仿宋_GB2312" w:eastAsia="仿宋_GB2312" w:cs="仿宋_GB2312"/>
          <w:sz w:val="32"/>
          <w:szCs w:val="32"/>
          <w:highlight w:val="none"/>
        </w:rPr>
        <w:t>配置专（兼）职心理健康教育教师175名，建成心理辅导室41个，</w:t>
      </w:r>
      <w:r>
        <w:rPr>
          <w:rFonts w:hint="eastAsia" w:ascii="仿宋_GB2312" w:hAnsi="Calibri" w:eastAsia="仿宋_GB2312"/>
          <w:sz w:val="32"/>
          <w:szCs w:val="32"/>
          <w:highlight w:val="none"/>
        </w:rPr>
        <w:t>打造市级心理健康教育示范学校7所</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建立市级和校级心理健康教育名师工作室15个，举办家庭教育专题讲座、亲子实践活动等39场，开展亲子教育、心理辅导、青春期辅导等培训活动274次，惠及学校100余所、学生5万余名，实现学生心理安全事故“零发生”。</w:t>
      </w:r>
    </w:p>
    <w:p w14:paraId="601D547D">
      <w:pPr>
        <w:spacing w:line="54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五是着力建强师资队伍，汇聚教育发展活力。</w:t>
      </w:r>
      <w:r>
        <w:rPr>
          <w:rFonts w:hint="eastAsia" w:ascii="仿宋_GB2312" w:hAnsi="仿宋_GB2312" w:eastAsia="仿宋_GB2312" w:cs="仿宋_GB2312"/>
          <w:sz w:val="32"/>
          <w:szCs w:val="32"/>
          <w:highlight w:val="none"/>
        </w:rPr>
        <w:t>始终把教师队伍建设作为教育工作的重中之重来抓。</w:t>
      </w:r>
      <w:r>
        <w:rPr>
          <w:rFonts w:hint="eastAsia" w:ascii="仿宋_GB2312" w:hAnsi="仿宋_GB2312" w:eastAsia="仿宋_GB2312" w:cs="仿宋_GB2312"/>
          <w:b/>
          <w:sz w:val="32"/>
          <w:szCs w:val="32"/>
          <w:highlight w:val="none"/>
        </w:rPr>
        <w:t>一是师德师风建设不断加强。</w:t>
      </w:r>
      <w:r>
        <w:rPr>
          <w:rFonts w:hint="eastAsia" w:ascii="仿宋_GB2312" w:hAnsi="仿宋_GB2312" w:eastAsia="仿宋_GB2312" w:cs="仿宋_GB2312"/>
          <w:sz w:val="32"/>
          <w:szCs w:val="32"/>
          <w:highlight w:val="none"/>
        </w:rPr>
        <w:t>坚持师德师风第一标准，深入开展“师德师风大整治”和“假如我是孩子，假如是我的孩子”教育思想大讨论活动，重拳整治违反工作纪律、违规征订教辅、违规有偿补课、违规办班培训、克扣挤占学生伙食费等不正之风，营造风清气正的教育生态。</w:t>
      </w:r>
      <w:r>
        <w:rPr>
          <w:rFonts w:hint="eastAsia" w:ascii="仿宋_GB2312" w:hAnsi="仿宋_GB2312" w:eastAsia="仿宋_GB2312" w:cs="仿宋_GB2312"/>
          <w:b/>
          <w:sz w:val="32"/>
          <w:szCs w:val="32"/>
          <w:highlight w:val="none"/>
        </w:rPr>
        <w:t>二是教师补充交流力度更大。</w:t>
      </w:r>
      <w:r>
        <w:rPr>
          <w:rFonts w:hint="eastAsia" w:ascii="仿宋_GB2312" w:hAnsi="仿宋_GB2312" w:eastAsia="仿宋_GB2312" w:cs="仿宋_GB2312"/>
          <w:sz w:val="32"/>
          <w:szCs w:val="32"/>
          <w:highlight w:val="none"/>
        </w:rPr>
        <w:t>制定《祁阳市公办中小学、幼儿园教师有序合理流动实施办法（草案）》，积极推动城乡200余名教师双向流动，鼓励25名城区教师下乡支教；今年来，累计人才引进教师11人、招聘教师53人、选聘市外优秀在编教师11人、送培公费定向师范生61人，城乡师资配置更加均衡。</w:t>
      </w:r>
      <w:r>
        <w:rPr>
          <w:rFonts w:hint="eastAsia" w:ascii="仿宋_GB2312" w:hAnsi="仿宋_GB2312" w:eastAsia="仿宋_GB2312" w:cs="仿宋_GB2312"/>
          <w:b/>
          <w:sz w:val="32"/>
          <w:szCs w:val="32"/>
          <w:highlight w:val="none"/>
        </w:rPr>
        <w:t>三是教师培养培训成效突出。</w:t>
      </w:r>
      <w:r>
        <w:rPr>
          <w:rFonts w:hint="eastAsia" w:ascii="仿宋_GB2312" w:hAnsi="仿宋_GB2312" w:eastAsia="仿宋_GB2312" w:cs="仿宋_GB2312"/>
          <w:sz w:val="32"/>
          <w:szCs w:val="32"/>
          <w:highlight w:val="none"/>
        </w:rPr>
        <w:t>大力推进新时代基础教育强师计划，实施中小学教师信息技术应用能力提升工程2.0培训、师德师风远程教育培训、工作坊培训、寒假教师研修、暑假教师研修、心理健康教育教师培训、红色教育送教培训等，受训干部教师2.2万余人次。组织76名市教育局机关干部、中小学校长、幼儿园园长等赴河北衡水市、浙江省湖州市、浙江省嘉兴市、湖南省岳阳市等地考察学习，干部教师能力素质显著提升。建成省级名师工作室3个、永州市级名师工作室3个，常态化开展送课、竞课、微课、磨课等教改活动，广大教师研究课改、推进课改成为新常态。教学研究室选送的教研课题《小屏幕、大课堂——教师移动终端进课堂实践研究》获得“湖南省第五届基础教育成果奖”二等奖，《数字化极简应用，助力乡村教育发展》荣获湖南省首届基础教育创新案例奖。</w:t>
      </w:r>
    </w:p>
    <w:p w14:paraId="759DC2A5">
      <w:pPr>
        <w:spacing w:line="54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六是全力筑牢安全防线，营造和谐发展环境。</w:t>
      </w:r>
      <w:r>
        <w:rPr>
          <w:rFonts w:hint="eastAsia" w:ascii="仿宋_GB2312" w:hAnsi="仿宋_GB2312" w:eastAsia="仿宋_GB2312" w:cs="仿宋_GB2312"/>
          <w:sz w:val="32"/>
          <w:szCs w:val="32"/>
          <w:highlight w:val="none"/>
        </w:rPr>
        <w:t>深入践行“生命至上、安全第一”发展理念，严守安全底线，筑牢安全防线，力促教育和谐稳定发展。</w:t>
      </w:r>
      <w:r>
        <w:rPr>
          <w:rFonts w:hint="eastAsia" w:ascii="仿宋_GB2312" w:hAnsi="仿宋_GB2312" w:eastAsia="仿宋_GB2312" w:cs="仿宋_GB2312"/>
          <w:b/>
          <w:sz w:val="32"/>
          <w:szCs w:val="32"/>
          <w:highlight w:val="none"/>
        </w:rPr>
        <w:t>一是强化校园安防建设。</w:t>
      </w:r>
      <w:r>
        <w:rPr>
          <w:rFonts w:hint="eastAsia" w:ascii="仿宋_GB2312" w:hAnsi="仿宋_GB2312" w:eastAsia="仿宋_GB2312" w:cs="仿宋_GB2312"/>
          <w:sz w:val="32"/>
          <w:szCs w:val="32"/>
          <w:highlight w:val="none"/>
        </w:rPr>
        <w:t>突出抓好人防、物防、技防建设，全市中小学校幼儿园封闭化管理、专职保安配备、一键式紧急报警系统及视频监控系统与公安机关联网均实现100%到位。</w:t>
      </w:r>
      <w:r>
        <w:rPr>
          <w:rFonts w:hint="eastAsia" w:ascii="仿宋_GB2312" w:hAnsi="仿宋_GB2312" w:eastAsia="仿宋_GB2312" w:cs="仿宋_GB2312"/>
          <w:b/>
          <w:sz w:val="32"/>
          <w:szCs w:val="32"/>
          <w:highlight w:val="none"/>
        </w:rPr>
        <w:t>二是强化安全隐患整治。</w:t>
      </w:r>
      <w:r>
        <w:rPr>
          <w:rFonts w:hint="eastAsia" w:ascii="仿宋_GB2312" w:hAnsi="仿宋_GB2312" w:eastAsia="仿宋_GB2312" w:cs="仿宋_GB2312"/>
          <w:sz w:val="32"/>
          <w:szCs w:val="32"/>
          <w:highlight w:val="none"/>
        </w:rPr>
        <w:t>定期组织教育、公安、市监、应急、交通、交警、水利等部门，联合开展防溺水、交通、校车、校舍、食品卫生、校园欺凌、防性侵等专项整治10余次，发布防溺水、防性侵等工作简报20余篇，下发整改通报10余篇，第一时间消除风险隐患。</w:t>
      </w:r>
      <w:r>
        <w:rPr>
          <w:rFonts w:hint="eastAsia" w:ascii="仿宋_GB2312" w:hAnsi="仿宋_GB2312" w:eastAsia="仿宋_GB2312" w:cs="仿宋_GB2312"/>
          <w:b/>
          <w:sz w:val="32"/>
          <w:szCs w:val="32"/>
          <w:highlight w:val="none"/>
        </w:rPr>
        <w:t>三是强化教育网络安全。</w:t>
      </w:r>
      <w:r>
        <w:rPr>
          <w:rFonts w:hint="eastAsia" w:ascii="仿宋_GB2312" w:hAnsi="仿宋_GB2312" w:eastAsia="仿宋_GB2312" w:cs="仿宋_GB2312"/>
          <w:sz w:val="32"/>
          <w:szCs w:val="32"/>
          <w:highlight w:val="none"/>
        </w:rPr>
        <w:t>将教育网络安全工作纳入“智慧祁阳”建设重要组成部分，办理“红网百姓呼声”“问政湖南”“问政永州”等网民留言平台留言174件，办理市长热线、市民咨询电话、群众投诉426件，回复网络舆情600条，教育生态持续向好。</w:t>
      </w:r>
    </w:p>
    <w:p w14:paraId="3FDA2D2F">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四、绩效评价结论</w:t>
      </w:r>
    </w:p>
    <w:p w14:paraId="3A1D783C">
      <w:pPr>
        <w:spacing w:line="540" w:lineRule="exact"/>
        <w:ind w:firstLine="640" w:firstLineChars="200"/>
        <w:rPr>
          <w:highlight w:val="none"/>
        </w:rPr>
      </w:pPr>
      <w:r>
        <w:rPr>
          <w:rFonts w:hint="eastAsia" w:ascii="仿宋_GB2312" w:hAnsi="仿宋_GB2312" w:eastAsia="仿宋_GB2312" w:cs="仿宋_GB2312"/>
          <w:sz w:val="32"/>
          <w:szCs w:val="32"/>
          <w:highlight w:val="none"/>
        </w:rPr>
        <w:t>根据绩效评价的要求， 我们成立了自评工作领导小组， 对照 自评方案进行研究和布署，教育局班</w:t>
      </w:r>
      <w:r>
        <w:rPr>
          <w:rFonts w:eastAsia="仿宋_GB2312"/>
          <w:sz w:val="32"/>
          <w:szCs w:val="32"/>
          <w:highlight w:val="none"/>
        </w:rPr>
        <w:t>子成员、局属各单位及机关各科室全程参与</w:t>
      </w:r>
      <w:r>
        <w:rPr>
          <w:rFonts w:hint="eastAsia" w:eastAsia="仿宋_GB2312"/>
          <w:sz w:val="32"/>
          <w:szCs w:val="32"/>
          <w:highlight w:val="none"/>
        </w:rPr>
        <w:t>，</w:t>
      </w:r>
      <w:r>
        <w:rPr>
          <w:rFonts w:eastAsia="仿宋_GB2312"/>
          <w:sz w:val="32"/>
          <w:szCs w:val="32"/>
          <w:highlight w:val="none"/>
        </w:rPr>
        <w:t>按照自评方案的要求，对照各实施项目的内容 逐条逐项自评。在自评过程发现问题，查找原因</w:t>
      </w:r>
      <w:r>
        <w:rPr>
          <w:rFonts w:hint="eastAsia" w:eastAsia="仿宋_GB2312"/>
          <w:sz w:val="32"/>
          <w:szCs w:val="32"/>
          <w:highlight w:val="none"/>
        </w:rPr>
        <w:t>，</w:t>
      </w:r>
      <w:r>
        <w:rPr>
          <w:rFonts w:eastAsia="仿宋_GB2312"/>
          <w:sz w:val="32"/>
          <w:szCs w:val="32"/>
          <w:highlight w:val="none"/>
        </w:rPr>
        <w:t>及时纠正偏差</w:t>
      </w:r>
      <w:r>
        <w:rPr>
          <w:rFonts w:hint="eastAsia" w:eastAsia="仿宋_GB2312"/>
          <w:sz w:val="32"/>
          <w:szCs w:val="32"/>
          <w:highlight w:val="none"/>
        </w:rPr>
        <w:t>，</w:t>
      </w:r>
      <w:r>
        <w:rPr>
          <w:rFonts w:eastAsia="仿宋_GB2312"/>
          <w:sz w:val="32"/>
          <w:szCs w:val="32"/>
          <w:highlight w:val="none"/>
        </w:rPr>
        <w:t xml:space="preserve">为下一步工作夯实基础。对照 </w:t>
      </w:r>
      <w:r>
        <w:rPr>
          <w:rFonts w:hint="eastAsia" w:eastAsia="仿宋_GB2312"/>
          <w:sz w:val="32"/>
          <w:szCs w:val="32"/>
          <w:highlight w:val="none"/>
          <w:lang w:eastAsia="zh-CN"/>
        </w:rPr>
        <w:t>2023</w:t>
      </w:r>
      <w:r>
        <w:rPr>
          <w:rFonts w:eastAsia="仿宋_GB2312"/>
          <w:sz w:val="32"/>
          <w:szCs w:val="32"/>
          <w:highlight w:val="none"/>
        </w:rPr>
        <w:t>年度部门整体支出绩效评价指标体系表自评得分为</w:t>
      </w:r>
      <w:r>
        <w:rPr>
          <w:rFonts w:hint="eastAsia" w:eastAsia="仿宋_GB2312"/>
          <w:sz w:val="32"/>
          <w:szCs w:val="32"/>
          <w:highlight w:val="none"/>
        </w:rPr>
        <w:t>97.8</w:t>
      </w:r>
      <w:r>
        <w:rPr>
          <w:rFonts w:eastAsia="仿宋_GB2312"/>
          <w:sz w:val="32"/>
          <w:szCs w:val="32"/>
          <w:highlight w:val="none"/>
        </w:rPr>
        <w:t>分，等级为优秀。</w:t>
      </w:r>
    </w:p>
    <w:p w14:paraId="4D742C83">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五、存在的主要问题</w:t>
      </w:r>
    </w:p>
    <w:p w14:paraId="29A935A0">
      <w:pPr>
        <w:spacing w:line="540" w:lineRule="exact"/>
        <w:ind w:firstLine="640" w:firstLineChars="200"/>
        <w:rPr>
          <w:rFonts w:hint="eastAsia" w:ascii="仿宋_GB2312" w:hAnsi="仿宋_GB2312" w:eastAsia="仿宋_GB2312" w:cs="仿宋_GB2312"/>
          <w:sz w:val="32"/>
          <w:szCs w:val="32"/>
          <w:highlight w:val="none"/>
        </w:rPr>
      </w:pPr>
      <w:r>
        <w:rPr>
          <w:rFonts w:hint="eastAsia" w:eastAsia="仿宋_GB2312"/>
          <w:kern w:val="2"/>
          <w:sz w:val="32"/>
          <w:szCs w:val="32"/>
          <w:highlight w:val="none"/>
        </w:rPr>
        <w:t>（</w:t>
      </w:r>
      <w:r>
        <w:rPr>
          <w:rFonts w:hint="eastAsia" w:ascii="仿宋_GB2312" w:hAnsi="仿宋_GB2312" w:eastAsia="仿宋_GB2312" w:cs="仿宋_GB2312"/>
          <w:sz w:val="32"/>
          <w:szCs w:val="32"/>
          <w:highlight w:val="none"/>
        </w:rPr>
        <w:t>一）教育投入不能完全满足教育事业快速发展的需求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无法满足广大人民群众对优质教育资源的需求。</w:t>
      </w:r>
    </w:p>
    <w:p w14:paraId="6AD709A7">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虽然近年来对基础教育投入有所增加，但仍然不够，分给基础教育的资金本就相对较少，以至于钱只能花在最迫切的硬件问题上，解决初级的“有书读”问题。至于教育质量方面的软件，甚少涉及，而这显然是不够的。</w:t>
      </w:r>
    </w:p>
    <w:p w14:paraId="7ED6CD6D">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（二）教师年龄结构严重失衡。</w:t>
      </w:r>
    </w:p>
    <w:p w14:paraId="21A75294">
      <w:pPr>
        <w:spacing w:line="540" w:lineRule="exact"/>
        <w:ind w:firstLine="640" w:firstLineChars="200"/>
        <w:rPr>
          <w:rFonts w:eastAsia="仿宋_GB2312" w:asciiTheme="minorHAnsi" w:hAnsiTheme="minorHAnsi" w:cstheme="minorBidi"/>
          <w:sz w:val="32"/>
          <w:szCs w:val="32"/>
          <w:highlight w:val="none"/>
        </w:rPr>
      </w:pPr>
      <w:r>
        <w:rPr>
          <w:rFonts w:hint="eastAsia" w:ascii="仿宋_GB2312" w:hAnsi="仿宋_GB2312" w:eastAsia="仿宋_GB2312" w:cs="仿宋_GB2312"/>
          <w:sz w:val="32"/>
          <w:szCs w:val="32"/>
          <w:highlight w:val="none"/>
        </w:rPr>
        <w:t>教师年龄结构偏大会导致课堂没有活力，学习氛围沉闷。而且很多教师与学生的年龄相差几轮，老师不太能理解新一代学生的心理状态与想法，出现很大的人际代沟。但是中老年教师也有一个很大的优点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就是教学经验丰富，能给学生的学习做更有价值性的指导。教师年龄结构偏大则成熟有余但缺少激情，偏小则 活力有余但缺乏经验。一个良好的教师团队应当是老中青结合，这样才能够盘活整个教师队伍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但有利于学校优良传统的继承与发展，也有利于教师之间的传帮带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促进年轻教师的快速成长。</w:t>
      </w:r>
    </w:p>
    <w:p w14:paraId="391E4199">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六、改进措施和有关建议</w:t>
      </w:r>
    </w:p>
    <w:p w14:paraId="0148B258">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（一）增加教育经费投入总量</w:t>
      </w:r>
    </w:p>
    <w:p w14:paraId="1D11FECD">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要解决教育投入不够这个问题，教育经费投入的总量必须持 续增加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投入结构亦必须调整。只有总量够大，才有足够资金用 来同时解决硬件和软件问题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而在此基础上， 优化教育投入结构，进一步落实薄弱学校和小规模学校的建设，才能促进义务教育均衡发展，满足人民群众对教育资源的需求。</w:t>
      </w:r>
    </w:p>
    <w:p w14:paraId="07424927">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 提升义务教育学校公用经费标准</w:t>
      </w:r>
    </w:p>
    <w:p w14:paraId="51F4AE0B">
      <w:pPr>
        <w:spacing w:line="540" w:lineRule="exact"/>
        <w:ind w:firstLine="640" w:firstLineChars="200"/>
        <w:rPr>
          <w:rFonts w:hint="eastAsia" w:ascii="仿宋_GB2312" w:hAnsi="仿宋_GB2312" w:eastAsia="仿宋_GB2312" w:cs="仿宋_GB2312"/>
          <w:sz w:val="32"/>
          <w:szCs w:val="32"/>
          <w:highlight w:val="none"/>
        </w:rPr>
        <w:sectPr>
          <w:pgSz w:w="11907" w:h="16839"/>
          <w:pgMar w:top="1440" w:right="1800" w:bottom="1440" w:left="1800" w:header="0" w:footer="0" w:gutter="0"/>
          <w:pgNumType w:fmt="decimal"/>
          <w:cols w:space="720" w:num="1"/>
        </w:sectPr>
      </w:pPr>
      <w:r>
        <w:rPr>
          <w:rFonts w:hint="eastAsia" w:ascii="仿宋_GB2312" w:hAnsi="仿宋_GB2312" w:eastAsia="仿宋_GB2312" w:cs="仿宋_GB2312"/>
          <w:sz w:val="32"/>
          <w:szCs w:val="32"/>
          <w:highlight w:val="none"/>
        </w:rPr>
        <w:t>义务教育学校公用经费自实施以来，增长速度远远低于物价上涨速度，已严重影响学校的正常运转，建议提高义务教育学校公用经费标。</w:t>
      </w:r>
    </w:p>
    <w:p w14:paraId="1BBB9BE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F89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-657225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09760C">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51.75pt;height:144pt;width:144pt;mso-position-horizontal:center;mso-position-horizontal-relative:margin;mso-wrap-style:none;z-index:251659264;mso-width-relative:page;mso-height-relative:page;" filled="f" stroked="f" coordsize="21600,21600" o:gfxdata="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NZwI3VAAAACQEAAA8AAAAAAAAAAQAgAAAAIgAAAGRycy9kb3du&#10;cmV2LnhtbFBLAQIUABQAAAAIAIdO4kDaj64dyQEAAJsDAAAOAAAAAAAAAAEAIAAAACQBAABkcnMv&#10;ZTJvRG9jLnhtbFBLBQYAAAAABgAGAFkBAABfBQAAAAA=&#10;">
              <v:fill on="f" focussize="0,0"/>
              <v:stroke on="f"/>
              <v:imagedata o:title=""/>
              <o:lock v:ext="edit" aspectratio="f"/>
              <v:textbox inset="0mm,0mm,0mm,0mm" style="mso-fit-shape-to-text:t;">
                <w:txbxContent>
                  <w:p w14:paraId="5909760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9581">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3FB1C"/>
    <w:multiLevelType w:val="singleLevel"/>
    <w:tmpl w:val="BD83FB1C"/>
    <w:lvl w:ilvl="0" w:tentative="0">
      <w:start w:val="2"/>
      <w:numFmt w:val="chineseCounting"/>
      <w:suff w:val="nothing"/>
      <w:lvlText w:val="（%1）"/>
      <w:lvlJc w:val="left"/>
      <w:rPr>
        <w:rFonts w:hint="eastAsia"/>
      </w:rPr>
    </w:lvl>
  </w:abstractNum>
  <w:abstractNum w:abstractNumId="1">
    <w:nsid w:val="0CDE5651"/>
    <w:multiLevelType w:val="singleLevel"/>
    <w:tmpl w:val="0CDE5651"/>
    <w:lvl w:ilvl="0" w:tentative="0">
      <w:start w:val="3"/>
      <w:numFmt w:val="decimal"/>
      <w:lvlText w:val="%1."/>
      <w:lvlJc w:val="left"/>
      <w:pPr>
        <w:tabs>
          <w:tab w:val="left" w:pos="312"/>
        </w:tabs>
      </w:pPr>
    </w:lvl>
  </w:abstractNum>
  <w:abstractNum w:abstractNumId="2">
    <w:nsid w:val="522CE596"/>
    <w:multiLevelType w:val="singleLevel"/>
    <w:tmpl w:val="522CE59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2Q1ZTYyMWExMWYyMGQwOWI3YTE4ZWVhMGE0YTA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2CF141E"/>
    <w:rsid w:val="033D6913"/>
    <w:rsid w:val="036208AE"/>
    <w:rsid w:val="038A07DA"/>
    <w:rsid w:val="03DB5DFE"/>
    <w:rsid w:val="03F91788"/>
    <w:rsid w:val="043F0BEF"/>
    <w:rsid w:val="0520214C"/>
    <w:rsid w:val="05AB2D7A"/>
    <w:rsid w:val="069E655B"/>
    <w:rsid w:val="0730481F"/>
    <w:rsid w:val="07AE77D1"/>
    <w:rsid w:val="09547830"/>
    <w:rsid w:val="09F85A87"/>
    <w:rsid w:val="0C224122"/>
    <w:rsid w:val="0C5D192B"/>
    <w:rsid w:val="0C686809"/>
    <w:rsid w:val="0C76265C"/>
    <w:rsid w:val="0D7111BC"/>
    <w:rsid w:val="0D740970"/>
    <w:rsid w:val="0E596E1E"/>
    <w:rsid w:val="0E9E76FE"/>
    <w:rsid w:val="0F856174"/>
    <w:rsid w:val="100B45D8"/>
    <w:rsid w:val="106B4ABC"/>
    <w:rsid w:val="110E658E"/>
    <w:rsid w:val="11E76422"/>
    <w:rsid w:val="12011292"/>
    <w:rsid w:val="129C5D80"/>
    <w:rsid w:val="130F0CDD"/>
    <w:rsid w:val="138F7287"/>
    <w:rsid w:val="14C842E9"/>
    <w:rsid w:val="14DB04C0"/>
    <w:rsid w:val="15134954"/>
    <w:rsid w:val="15A13B32"/>
    <w:rsid w:val="16C32FBA"/>
    <w:rsid w:val="17B943BD"/>
    <w:rsid w:val="17DD4AF4"/>
    <w:rsid w:val="18055854"/>
    <w:rsid w:val="181A629A"/>
    <w:rsid w:val="182F1DCD"/>
    <w:rsid w:val="18950986"/>
    <w:rsid w:val="197609DE"/>
    <w:rsid w:val="1994155E"/>
    <w:rsid w:val="19F72119"/>
    <w:rsid w:val="1A393593"/>
    <w:rsid w:val="1A4B59CE"/>
    <w:rsid w:val="1A4B710F"/>
    <w:rsid w:val="1B3C4698"/>
    <w:rsid w:val="1B9638C6"/>
    <w:rsid w:val="1BD47A17"/>
    <w:rsid w:val="1D2D3883"/>
    <w:rsid w:val="1D2D5631"/>
    <w:rsid w:val="1DEF77E3"/>
    <w:rsid w:val="1E0D0FBE"/>
    <w:rsid w:val="1E5A16B2"/>
    <w:rsid w:val="1F803048"/>
    <w:rsid w:val="21E64147"/>
    <w:rsid w:val="22683576"/>
    <w:rsid w:val="22CA1B74"/>
    <w:rsid w:val="23673F3E"/>
    <w:rsid w:val="2436731B"/>
    <w:rsid w:val="289B5D70"/>
    <w:rsid w:val="2A1C4A45"/>
    <w:rsid w:val="2A44581A"/>
    <w:rsid w:val="2A502FEB"/>
    <w:rsid w:val="2BA15A1F"/>
    <w:rsid w:val="2D3B5B48"/>
    <w:rsid w:val="2DA01E4F"/>
    <w:rsid w:val="2DC345B5"/>
    <w:rsid w:val="2DFC2755"/>
    <w:rsid w:val="2E053C7C"/>
    <w:rsid w:val="2E105415"/>
    <w:rsid w:val="2EA71D0F"/>
    <w:rsid w:val="2EEC1A1D"/>
    <w:rsid w:val="2F762E67"/>
    <w:rsid w:val="2F8113FE"/>
    <w:rsid w:val="3016447C"/>
    <w:rsid w:val="30C976F9"/>
    <w:rsid w:val="31035B70"/>
    <w:rsid w:val="32087FC3"/>
    <w:rsid w:val="328858F3"/>
    <w:rsid w:val="32A83D79"/>
    <w:rsid w:val="350C5A51"/>
    <w:rsid w:val="3513157E"/>
    <w:rsid w:val="357B7273"/>
    <w:rsid w:val="35E825E5"/>
    <w:rsid w:val="3601278A"/>
    <w:rsid w:val="36065A35"/>
    <w:rsid w:val="361444CC"/>
    <w:rsid w:val="368F772A"/>
    <w:rsid w:val="36AF3103"/>
    <w:rsid w:val="36EB2C9D"/>
    <w:rsid w:val="374617A5"/>
    <w:rsid w:val="38167642"/>
    <w:rsid w:val="382E0A5C"/>
    <w:rsid w:val="39333B77"/>
    <w:rsid w:val="3959625C"/>
    <w:rsid w:val="397C0BAE"/>
    <w:rsid w:val="39ED1F78"/>
    <w:rsid w:val="3AF37A62"/>
    <w:rsid w:val="3AFA1FC6"/>
    <w:rsid w:val="3B40257B"/>
    <w:rsid w:val="3C0637C5"/>
    <w:rsid w:val="3D064921"/>
    <w:rsid w:val="3D365577"/>
    <w:rsid w:val="3DEE5AB4"/>
    <w:rsid w:val="3DF067DF"/>
    <w:rsid w:val="3E456D30"/>
    <w:rsid w:val="3EA177D5"/>
    <w:rsid w:val="3ECC729E"/>
    <w:rsid w:val="3F456695"/>
    <w:rsid w:val="3F87756C"/>
    <w:rsid w:val="4001677D"/>
    <w:rsid w:val="40D03A26"/>
    <w:rsid w:val="41182D1A"/>
    <w:rsid w:val="413D33DF"/>
    <w:rsid w:val="41BE7F1E"/>
    <w:rsid w:val="43670FED"/>
    <w:rsid w:val="436E048A"/>
    <w:rsid w:val="43C36359"/>
    <w:rsid w:val="43F71D59"/>
    <w:rsid w:val="44053EC8"/>
    <w:rsid w:val="44C707F3"/>
    <w:rsid w:val="44FF121C"/>
    <w:rsid w:val="451707F1"/>
    <w:rsid w:val="45CA2816"/>
    <w:rsid w:val="464120C3"/>
    <w:rsid w:val="469909A5"/>
    <w:rsid w:val="47584B66"/>
    <w:rsid w:val="4B3612A5"/>
    <w:rsid w:val="4B490FD8"/>
    <w:rsid w:val="4CED3846"/>
    <w:rsid w:val="4CEE073C"/>
    <w:rsid w:val="4D384220"/>
    <w:rsid w:val="4DDF345D"/>
    <w:rsid w:val="4E277436"/>
    <w:rsid w:val="4EDB4BC8"/>
    <w:rsid w:val="4EE41ACD"/>
    <w:rsid w:val="4F4C5B9A"/>
    <w:rsid w:val="4FD40481"/>
    <w:rsid w:val="50680222"/>
    <w:rsid w:val="520A444F"/>
    <w:rsid w:val="523D0E4F"/>
    <w:rsid w:val="531204FD"/>
    <w:rsid w:val="53646824"/>
    <w:rsid w:val="542B5EF6"/>
    <w:rsid w:val="55604314"/>
    <w:rsid w:val="56181E4D"/>
    <w:rsid w:val="562E7FE9"/>
    <w:rsid w:val="566A3CE9"/>
    <w:rsid w:val="57405985"/>
    <w:rsid w:val="575064EA"/>
    <w:rsid w:val="57511CCA"/>
    <w:rsid w:val="577E4F29"/>
    <w:rsid w:val="57802226"/>
    <w:rsid w:val="57AE108B"/>
    <w:rsid w:val="5946106C"/>
    <w:rsid w:val="595E6596"/>
    <w:rsid w:val="596926C2"/>
    <w:rsid w:val="59904603"/>
    <w:rsid w:val="5A6244C1"/>
    <w:rsid w:val="5C133668"/>
    <w:rsid w:val="5C2634BB"/>
    <w:rsid w:val="5C5A50EA"/>
    <w:rsid w:val="5D001DAE"/>
    <w:rsid w:val="5D67030F"/>
    <w:rsid w:val="5DE75445"/>
    <w:rsid w:val="5DFE7762"/>
    <w:rsid w:val="5F43470A"/>
    <w:rsid w:val="611B13A3"/>
    <w:rsid w:val="617B314A"/>
    <w:rsid w:val="617D4D6A"/>
    <w:rsid w:val="621912AD"/>
    <w:rsid w:val="63011A06"/>
    <w:rsid w:val="63C74D38"/>
    <w:rsid w:val="649317EA"/>
    <w:rsid w:val="651D7310"/>
    <w:rsid w:val="6520761C"/>
    <w:rsid w:val="65AE4402"/>
    <w:rsid w:val="67AE17DA"/>
    <w:rsid w:val="699E7704"/>
    <w:rsid w:val="6A1D1B56"/>
    <w:rsid w:val="6A4D5C29"/>
    <w:rsid w:val="6A53650D"/>
    <w:rsid w:val="6A64035D"/>
    <w:rsid w:val="6A995680"/>
    <w:rsid w:val="6AD14E1A"/>
    <w:rsid w:val="6B952209"/>
    <w:rsid w:val="6C116020"/>
    <w:rsid w:val="6D725D15"/>
    <w:rsid w:val="6D9B170F"/>
    <w:rsid w:val="6E0F7A08"/>
    <w:rsid w:val="6EAF7468"/>
    <w:rsid w:val="6F3A4760"/>
    <w:rsid w:val="70BD7BEF"/>
    <w:rsid w:val="70D2074D"/>
    <w:rsid w:val="70E16CEF"/>
    <w:rsid w:val="727603A8"/>
    <w:rsid w:val="72B94E61"/>
    <w:rsid w:val="72DB7F88"/>
    <w:rsid w:val="72F13B80"/>
    <w:rsid w:val="7332573C"/>
    <w:rsid w:val="73501E6B"/>
    <w:rsid w:val="73775FE8"/>
    <w:rsid w:val="73BD5C61"/>
    <w:rsid w:val="741A22DF"/>
    <w:rsid w:val="74D06143"/>
    <w:rsid w:val="753D30AC"/>
    <w:rsid w:val="75950C25"/>
    <w:rsid w:val="75A22521"/>
    <w:rsid w:val="76AB6ECD"/>
    <w:rsid w:val="77691EBB"/>
    <w:rsid w:val="78915924"/>
    <w:rsid w:val="79B553DD"/>
    <w:rsid w:val="7B476A33"/>
    <w:rsid w:val="7B72220E"/>
    <w:rsid w:val="7B75410C"/>
    <w:rsid w:val="7B903B92"/>
    <w:rsid w:val="7BF075B1"/>
    <w:rsid w:val="7BF3045C"/>
    <w:rsid w:val="7C552837"/>
    <w:rsid w:val="7CAB64A4"/>
    <w:rsid w:val="7CDB38D7"/>
    <w:rsid w:val="7CF4197F"/>
    <w:rsid w:val="7CFE5817"/>
    <w:rsid w:val="7D39684F"/>
    <w:rsid w:val="7DEA3972"/>
    <w:rsid w:val="7E5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toc 5"/>
    <w:basedOn w:val="1"/>
    <w:next w:val="1"/>
    <w:qFormat/>
    <w:uiPriority w:val="0"/>
    <w:pPr>
      <w:ind w:left="1680" w:leftChars="8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4"/>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14114</Words>
  <Characters>15129</Characters>
  <Lines>69</Lines>
  <Paragraphs>19</Paragraphs>
  <TotalTime>42</TotalTime>
  <ScaleCrop>false</ScaleCrop>
  <LinksUpToDate>false</LinksUpToDate>
  <CharactersWithSpaces>15173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2024-09-23T09:30:45Z</cp:lastPrinted>
  <dcterms:modified xsi:type="dcterms:W3CDTF">2024-09-23T09:34:37Z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24E29A36598F4877ACC51EF57015C6DE_13</vt:lpwstr>
  </property>
</Properties>
</file>