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hAnsi="黑体"/>
          <w:sz w:val="36"/>
          <w:szCs w:val="36"/>
        </w:rPr>
      </w:pPr>
      <w:r>
        <w:rPr>
          <w:rFonts w:hint="eastAsia" w:hAnsi="黑体"/>
          <w:sz w:val="36"/>
          <w:szCs w:val="36"/>
        </w:rPr>
        <w:t>附件1</w:t>
      </w:r>
    </w:p>
    <w:p>
      <w:pPr>
        <w:pStyle w:val="19"/>
        <w:jc w:val="center"/>
        <w:rPr>
          <w:rFonts w:ascii="Times New Roman" w:hAnsi="Times New Roman" w:cs="Times New Roman"/>
          <w:sz w:val="56"/>
          <w:szCs w:val="56"/>
        </w:rPr>
      </w:pPr>
    </w:p>
    <w:p>
      <w:pPr>
        <w:pStyle w:val="19"/>
        <w:jc w:val="center"/>
        <w:rPr>
          <w:rFonts w:ascii="Times New Roman" w:hAnsi="Times New Roman" w:cs="Times New Roman"/>
          <w:sz w:val="84"/>
          <w:szCs w:val="84"/>
        </w:rPr>
      </w:pPr>
    </w:p>
    <w:p>
      <w:pPr>
        <w:pStyle w:val="19"/>
        <w:jc w:val="center"/>
        <w:rPr>
          <w:rFonts w:ascii="Times New Roman" w:hAnsi="Times New Roman" w:cs="Times New Roman"/>
          <w:sz w:val="84"/>
          <w:szCs w:val="84"/>
        </w:rPr>
      </w:pPr>
    </w:p>
    <w:p>
      <w:pPr>
        <w:pStyle w:val="19"/>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9"/>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祁阳市融媒体中心</w:t>
      </w:r>
      <w:r>
        <w:rPr>
          <w:rFonts w:ascii="Times New Roman" w:hAnsi="Times New Roman" w:eastAsia="方正小标宋简体" w:cs="Times New Roman"/>
          <w:sz w:val="72"/>
          <w:szCs w:val="72"/>
        </w:rPr>
        <w:t>部门决算</w:t>
      </w:r>
    </w:p>
    <w:p>
      <w:pPr>
        <w:pStyle w:val="19"/>
        <w:jc w:val="center"/>
        <w:rPr>
          <w:rFonts w:ascii="Times New Roman" w:hAnsi="Times New Roman" w:eastAsia="方正小标宋_GBK" w:cs="Times New Roman"/>
          <w:sz w:val="56"/>
          <w:szCs w:val="56"/>
        </w:rPr>
      </w:pPr>
    </w:p>
    <w:p>
      <w:pPr>
        <w:pStyle w:val="19"/>
        <w:jc w:val="center"/>
        <w:rPr>
          <w:rFonts w:ascii="Times New Roman" w:hAnsi="Times New Roman" w:cs="Times New Roman"/>
          <w:sz w:val="56"/>
          <w:szCs w:val="56"/>
        </w:rPr>
      </w:pPr>
    </w:p>
    <w:p>
      <w:pPr>
        <w:pStyle w:val="19"/>
        <w:rPr>
          <w:rFonts w:ascii="Times New Roman" w:hAnsi="Times New Roman" w:cs="Times New Roman"/>
          <w:sz w:val="56"/>
          <w:szCs w:val="56"/>
        </w:rPr>
      </w:pPr>
    </w:p>
    <w:p>
      <w:pPr>
        <w:pStyle w:val="19"/>
        <w:jc w:val="center"/>
        <w:rPr>
          <w:rFonts w:ascii="Times New Roman" w:hAnsi="Times New Roman" w:cs="Times New Roman"/>
          <w:sz w:val="32"/>
          <w:szCs w:val="32"/>
        </w:rPr>
      </w:pPr>
    </w:p>
    <w:p>
      <w:pPr>
        <w:pStyle w:val="19"/>
        <w:jc w:val="center"/>
        <w:rPr>
          <w:rFonts w:ascii="Times New Roman" w:hAnsi="Times New Roman" w:cs="Times New Roman"/>
          <w:sz w:val="32"/>
          <w:szCs w:val="32"/>
        </w:rPr>
      </w:pPr>
    </w:p>
    <w:p>
      <w:pPr>
        <w:pStyle w:val="19"/>
        <w:jc w:val="both"/>
        <w:rPr>
          <w:rFonts w:ascii="Times New Roman" w:hAnsi="Times New Roman" w:cs="Times New Roman"/>
          <w:sz w:val="32"/>
          <w:szCs w:val="32"/>
        </w:rPr>
      </w:pPr>
    </w:p>
    <w:p>
      <w:pPr>
        <w:pStyle w:val="19"/>
        <w:jc w:val="center"/>
        <w:rPr>
          <w:rFonts w:ascii="Times New Roman" w:hAnsi="Times New Roman" w:cs="Times New Roman"/>
          <w:sz w:val="32"/>
          <w:szCs w:val="32"/>
        </w:rPr>
      </w:pPr>
    </w:p>
    <w:p>
      <w:pPr>
        <w:pStyle w:val="19"/>
        <w:jc w:val="both"/>
        <w:rPr>
          <w:rFonts w:ascii="Times New Roman" w:hAnsi="Times New Roman" w:cs="Times New Roman"/>
          <w:sz w:val="32"/>
          <w:szCs w:val="32"/>
        </w:rPr>
      </w:pPr>
    </w:p>
    <w:p>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pPr>
        <w:pStyle w:val="19"/>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9"/>
        <w:spacing w:line="600" w:lineRule="exact"/>
        <w:jc w:val="center"/>
        <w:rPr>
          <w:rFonts w:ascii="Times New Roman" w:hAnsi="Times New Roman" w:cs="Times New Roman"/>
          <w:b/>
          <w:sz w:val="36"/>
          <w:szCs w:val="28"/>
        </w:rPr>
      </w:pPr>
    </w:p>
    <w:p>
      <w:pPr>
        <w:pStyle w:val="19"/>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祁阳市融媒体中心</w:t>
      </w:r>
      <w:r>
        <w:rPr>
          <w:rFonts w:ascii="Times New Roman" w:hAnsi="Times New Roman" w:cs="Times New Roman"/>
          <w:bCs/>
          <w:sz w:val="32"/>
          <w:szCs w:val="32"/>
        </w:rPr>
        <w:t>概况</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9"/>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9"/>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FF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ascii="Times New Roman" w:hAnsi="Times New Roman" w:eastAsia="仿宋_GB2312" w:cs="Times New Roman"/>
          <w:color w:val="000000"/>
          <w:kern w:val="0"/>
          <w:sz w:val="32"/>
          <w:szCs w:val="32"/>
        </w:rPr>
        <w:t>国有资本经营预算</w:t>
      </w:r>
      <w:r>
        <w:rPr>
          <w:rFonts w:hint="eastAsia" w:ascii="Times New Roman" w:hAnsi="Times New Roman" w:eastAsia="仿宋_GB2312" w:cs="Times New Roman"/>
          <w:color w:val="000000"/>
          <w:kern w:val="0"/>
          <w:sz w:val="32"/>
          <w:szCs w:val="32"/>
          <w:lang w:val="en-US" w:eastAsia="zh-CN"/>
        </w:rPr>
        <w:t>收入</w:t>
      </w:r>
      <w:r>
        <w:rPr>
          <w:rFonts w:ascii="Times New Roman" w:hAnsi="Times New Roman" w:eastAsia="仿宋_GB2312" w:cs="Times New Roman"/>
          <w:color w:val="000000"/>
          <w:kern w:val="0"/>
          <w:sz w:val="32"/>
          <w:szCs w:val="32"/>
        </w:rPr>
        <w:t>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pPr>
        <w:pStyle w:val="19"/>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pPr>
        <w:pStyle w:val="19"/>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9"/>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9"/>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9"/>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9"/>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祁阳市融媒体中心</w:t>
      </w:r>
      <w:r>
        <w:rPr>
          <w:rFonts w:ascii="Times New Roman" w:hAnsi="Times New Roman" w:eastAsia="方正小标宋_GBK" w:cs="Times New Roman"/>
          <w:sz w:val="52"/>
          <w:szCs w:val="52"/>
        </w:rPr>
        <w:t>概况</w:t>
      </w:r>
    </w:p>
    <w:p>
      <w:pPr>
        <w:pStyle w:val="20"/>
        <w:keepNext w:val="0"/>
        <w:keepLines w:val="0"/>
        <w:pageBreakBefore w:val="0"/>
        <w:widowControl w:val="0"/>
        <w:overflowPunct/>
        <w:topLinePunct w:val="0"/>
        <w:autoSpaceDE w:val="0"/>
        <w:autoSpaceDN w:val="0"/>
        <w:bidi w:val="0"/>
        <w:adjustRightInd w:val="0"/>
        <w:snapToGrid w:val="0"/>
        <w:spacing w:line="600" w:lineRule="exact"/>
        <w:ind w:firstLine="0" w:firstLineChars="0"/>
        <w:jc w:val="left"/>
        <w:textAlignment w:val="baseline"/>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根据《中共祁阳县委祁阳县人民政府关于印发〈祁阳县机构改革方案〉的通知》（祁发</w:t>
      </w:r>
      <w:r>
        <w:rPr>
          <w:rFonts w:hint="eastAsia" w:ascii="Times New Roman" w:hAnsi="Times New Roman" w:eastAsia="仿宋_GB2312" w:cs="Times New Roman"/>
          <w:bCs/>
          <w:kern w:val="0"/>
          <w:sz w:val="32"/>
          <w:szCs w:val="32"/>
          <w:lang w:val="en-US" w:eastAsia="zh-CN"/>
        </w:rPr>
        <w:t xml:space="preserve">[ </w:t>
      </w:r>
      <w:bookmarkStart w:id="3" w:name="_GoBack"/>
      <w:bookmarkEnd w:id="3"/>
      <w:r>
        <w:rPr>
          <w:rFonts w:hint="eastAsia" w:ascii="Times New Roman" w:hAnsi="Times New Roman" w:eastAsia="仿宋_GB2312" w:cs="Times New Roman"/>
          <w:bCs/>
          <w:kern w:val="0"/>
          <w:sz w:val="32"/>
          <w:szCs w:val="32"/>
          <w:lang w:eastAsia="zh-CN"/>
        </w:rPr>
        <w:t>2019]2号）和《中共祁阳县委办公室祁阳县人民政府办公室关于祁阳县机构改革涉改科级事业单位调整的通知》（祁办发[2019]4号）精神,整合祁阳广播电视台、祁阳新闻网、祁阳手机报、“村村响”广播、“中国微祁阳”微信公众号、祁阳发布、新湖南祁阳频道、今日永州祁阳频道、祁阳政府网的新闻发布平台、各单位微信微博等全市所有公共媒体资源，组建祁阳市融媒体中心（以下简称市融媒体中心）为祁阳市人民政府直属正科级公益类事业单位，归口中共祁阳市委宣传部管理。</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市融媒体中心贯彻落实中央、省、市关于融媒体工作的方针政策和部署要求，在履行职责过程中坚持和加强党对融媒体工作的集中统一领导。主要职责是:</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（一）贯彻执行党和国家有关新闻宣传、媒体管理的方针政策和法律法规，把握正确的舆论导向；拟定全市融媒体事业发展规划，经批准后组织实施。</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（二）负责全市融媒体事业的开发、建设、融合、运营和维护，开展媒体服务、党建服务、政务服务、公共服务、增值服务等业务。</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（三）在祁阳市委的领导下，按照市委宣传部的安排部署，研究新闻宣传中的重大课题，具体实施全市新闻宣传报道，不断提高宣传品质和水平，当好党和人民的喉舌。</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（四）负责融媒体安全播出、发布、传输和发射，做好有线无线数字地面覆盖工程建设运营维护工作。</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（五）负责媒体特别是新媒体的科学研究、开发应用申报评定和推广使用。</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（六）负责使用融媒体中心、广播电视系统专项资金，管理、经营原市广播电视台所属企事业单位占有（用）的全部国有资产并承担国有资产保值的责任。</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（七）负责全市融媒体人才的培训、培养、引进和对外交流合作工作。</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（八）负责融媒体文化产业经营发展创收，负责全市各类宣传产品的策划、设计和制作，开展媒体商业活动，承办全市各类大型宣传文化活动。</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（九）完成市委、市政府、市委宣传部交办的其它事项。</w:t>
      </w:r>
    </w:p>
    <w:p>
      <w:pPr>
        <w:pStyle w:val="20"/>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二、机构设置及决算单位构成</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800" w:firstLineChars="25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（一）内设机构设置。</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祁阳市融媒体中心是市人民政府直属正科级事业单位，内设办公室、人事股、计财股、总编辑部、新闻采访部、制作部、广播部、技术部、播出部、网络传输维护部等下属单位</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800" w:firstLineChars="250"/>
        <w:jc w:val="both"/>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en-US"/>
        </w:rPr>
        <w:t>决算单位构成。</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600" w:lineRule="exact"/>
        <w:ind w:firstLine="800" w:firstLineChars="25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祁阳市融媒体中心</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：祁阳市融媒体中心</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pPr>
        <w:pStyle w:val="9"/>
        <w:keepNext w:val="0"/>
        <w:keepLines w:val="0"/>
        <w:pageBreakBefore w:val="0"/>
        <w:widowControl w:val="0"/>
        <w:kinsoku/>
        <w:wordWrap w:val="0"/>
        <w:overflowPunct/>
        <w:topLinePunct w:val="0"/>
        <w:autoSpaceDE w:val="0"/>
        <w:autoSpaceDN w:val="0"/>
        <w:bidi w:val="0"/>
        <w:adjustRightInd w:val="0"/>
        <w:snapToGrid w:val="0"/>
        <w:ind w:firstLine="450" w:firstLineChars="250"/>
        <w:jc w:val="both"/>
        <w:textAlignment w:val="baseline"/>
        <w:rPr>
          <w:rFonts w:hint="eastAsia"/>
          <w:lang w:eastAsia="zh-CN"/>
        </w:rPr>
        <w:sectPr>
          <w:pgSz w:w="11906" w:h="16838"/>
          <w:pgMar w:top="1417" w:right="1134" w:bottom="1417" w:left="1134" w:header="851" w:footer="992" w:gutter="0"/>
          <w:cols w:space="425" w:num="1"/>
          <w:docGrid w:type="lines" w:linePitch="312" w:charSpace="0"/>
        </w:sectPr>
      </w:pPr>
    </w:p>
    <w:p>
      <w:pPr>
        <w:pStyle w:val="19"/>
        <w:keepNext w:val="0"/>
        <w:keepLines w:val="0"/>
        <w:pageBreakBefore w:val="0"/>
        <w:wordWrap/>
        <w:overflowPunct/>
        <w:topLinePunct w:val="0"/>
        <w:autoSpaceDE w:val="0"/>
        <w:autoSpaceDN w:val="0"/>
        <w:bidi w:val="0"/>
        <w:adjustRightInd w:val="0"/>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keepNext w:val="0"/>
        <w:keepLines w:val="0"/>
        <w:pageBreakBefore w:val="0"/>
        <w:widowControl/>
        <w:wordWrap/>
        <w:overflowPunct/>
        <w:topLinePunct w:val="0"/>
        <w:autoSpaceDE w:val="0"/>
        <w:autoSpaceDN w:val="0"/>
        <w:bidi w:val="0"/>
        <w:adjustRightInd w:val="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pPr>
        <w:widowControl/>
        <w:tabs>
          <w:tab w:val="left" w:pos="4442"/>
          <w:tab w:val="left" w:pos="5045"/>
          <w:tab w:val="left" w:pos="6444"/>
          <w:tab w:val="left" w:pos="11477"/>
          <w:tab w:val="left" w:pos="13102"/>
        </w:tabs>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公开01表</w:t>
      </w: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祁阳市融媒体中心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10335" w:type="dxa"/>
        <w:jc w:val="center"/>
        <w:tblLayout w:type="fixed"/>
        <w:tblCellMar>
          <w:top w:w="0" w:type="dxa"/>
          <w:left w:w="108" w:type="dxa"/>
          <w:bottom w:w="0" w:type="dxa"/>
          <w:right w:w="108" w:type="dxa"/>
        </w:tblCellMar>
      </w:tblPr>
      <w:tblGrid>
        <w:gridCol w:w="3146"/>
        <w:gridCol w:w="690"/>
        <w:gridCol w:w="1140"/>
        <w:gridCol w:w="3724"/>
        <w:gridCol w:w="615"/>
        <w:gridCol w:w="1020"/>
      </w:tblGrid>
      <w:tr>
        <w:tblPrEx>
          <w:tblCellMar>
            <w:top w:w="0" w:type="dxa"/>
            <w:left w:w="108" w:type="dxa"/>
            <w:bottom w:w="0" w:type="dxa"/>
            <w:right w:w="108" w:type="dxa"/>
          </w:tblCellMar>
        </w:tblPrEx>
        <w:trPr>
          <w:trHeight w:val="344" w:hRule="exact"/>
          <w:jc w:val="center"/>
        </w:trPr>
        <w:tc>
          <w:tcPr>
            <w:tcW w:w="497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收入</w:t>
            </w:r>
          </w:p>
        </w:tc>
        <w:tc>
          <w:tcPr>
            <w:tcW w:w="535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支出</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项    目</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行次</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决算数</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Times New Roman" w:hAnsi="Times New Roman" w:eastAsia="仿宋_GB2312" w:cs="Times New Roman"/>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    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Times New Roman" w:hAnsi="Times New Roman" w:eastAsia="仿宋_GB2312" w:cs="Times New Roman"/>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r>
      <w:tr>
        <w:tblPrEx>
          <w:tblCellMar>
            <w:top w:w="0" w:type="dxa"/>
            <w:left w:w="108" w:type="dxa"/>
            <w:bottom w:w="0" w:type="dxa"/>
            <w:right w:w="108" w:type="dxa"/>
          </w:tblCellMar>
        </w:tblPrEx>
        <w:trPr>
          <w:trHeight w:val="519"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一、一般公共预算财政拨款收入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宋体" w:hAnsi="宋体" w:eastAsia="宋体" w:cs="宋体"/>
                <w:color w:val="000000"/>
                <w:sz w:val="22"/>
                <w:lang w:val="en-US"/>
              </w:rPr>
            </w:pPr>
            <w:r>
              <w:rPr>
                <w:rFonts w:hint="eastAsia" w:ascii="宋体" w:hAnsi="宋体" w:eastAsia="宋体" w:cs="宋体"/>
                <w:i w:val="0"/>
                <w:iCs w:val="0"/>
                <w:snapToGrid w:val="0"/>
                <w:color w:val="000000"/>
                <w:kern w:val="0"/>
                <w:sz w:val="22"/>
                <w:szCs w:val="22"/>
                <w:u w:val="none"/>
                <w:lang w:val="en-US" w:eastAsia="zh-CN" w:bidi="ar"/>
              </w:rPr>
              <w:t>3,672.76</w:t>
            </w: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322.02</w:t>
            </w:r>
          </w:p>
        </w:tc>
      </w:tr>
      <w:tr>
        <w:tblPrEx>
          <w:tblCellMar>
            <w:top w:w="0" w:type="dxa"/>
            <w:left w:w="108" w:type="dxa"/>
            <w:bottom w:w="0" w:type="dxa"/>
            <w:right w:w="108" w:type="dxa"/>
          </w:tblCellMar>
        </w:tblPrEx>
        <w:trPr>
          <w:trHeight w:val="56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二、政府性基金预算财政拨款收入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宋体" w:hAnsi="宋体" w:eastAsia="宋体" w:cs="宋体"/>
                <w:color w:val="000000"/>
                <w:sz w:val="22"/>
              </w:rPr>
            </w:pPr>
            <w:r>
              <w:rPr>
                <w:rFonts w:hint="eastAsia" w:ascii="宋体" w:hAnsi="宋体" w:eastAsia="宋体" w:cs="宋体"/>
                <w:i w:val="0"/>
                <w:iCs w:val="0"/>
                <w:snapToGrid w:val="0"/>
                <w:color w:val="000000"/>
                <w:kern w:val="0"/>
                <w:sz w:val="22"/>
                <w:szCs w:val="22"/>
                <w:u w:val="none"/>
                <w:lang w:val="en-US" w:eastAsia="zh-CN" w:bidi="ar"/>
              </w:rPr>
              <w:t>2.00</w:t>
            </w: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二、外交支出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579"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三、国有资本经营预算财政拨款收入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三、国防支出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lang w:val="en-US" w:eastAsia="zh-CN"/>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四、上级补助收入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四、公共安全支出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lang w:val="en-US" w:eastAsia="zh-CN"/>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lang w:val="en-US" w:eastAsia="zh-CN"/>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五、教育支出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default" w:ascii="宋体" w:hAnsi="宋体" w:eastAsia="宋体" w:cs="宋体"/>
                <w:color w:val="000000"/>
                <w:sz w:val="22"/>
                <w:lang w:val="en-US" w:eastAsia="zh-CN"/>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六、经营收入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六、科学技术支出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lang w:val="en-US" w:eastAsia="zh-CN"/>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七、附属单位上缴收入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snapToGrid w:val="0"/>
                <w:color w:val="000000"/>
                <w:kern w:val="0"/>
                <w:sz w:val="22"/>
                <w:szCs w:val="22"/>
                <w:u w:val="none"/>
                <w:lang w:val="en-US" w:eastAsia="zh-CN" w:bidi="ar"/>
              </w:rPr>
              <w:t>七、文化旅游体育与传媒支出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2,726.86</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八、其他收入</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宋体" w:hAnsi="宋体" w:eastAsia="宋体" w:cs="宋体"/>
                <w:color w:val="000000"/>
                <w:sz w:val="22"/>
                <w:lang w:val="en-US"/>
              </w:rPr>
            </w:pPr>
            <w:r>
              <w:rPr>
                <w:rFonts w:hint="eastAsia" w:ascii="宋体" w:hAnsi="宋体" w:eastAsia="宋体" w:cs="宋体"/>
                <w:i w:val="0"/>
                <w:iCs w:val="0"/>
                <w:snapToGrid w:val="0"/>
                <w:color w:val="000000"/>
                <w:kern w:val="0"/>
                <w:sz w:val="22"/>
                <w:szCs w:val="22"/>
                <w:u w:val="none"/>
                <w:lang w:val="en-US" w:eastAsia="zh-CN" w:bidi="ar"/>
              </w:rPr>
              <w:t>71.86</w:t>
            </w:r>
          </w:p>
        </w:tc>
        <w:tc>
          <w:tcPr>
            <w:tcW w:w="3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八、社会保障和就业支出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349.58</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snapToGrid w:val="0"/>
                <w:color w:val="000000"/>
                <w:kern w:val="0"/>
                <w:sz w:val="22"/>
                <w:szCs w:val="22"/>
                <w:u w:val="none"/>
                <w:lang w:val="en-US" w:eastAsia="zh-CN" w:bidi="ar"/>
              </w:rPr>
              <w:t>九、卫生健康支出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123.81</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sz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十、节能环保支出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十一、城乡社区支出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十二、农林水支出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sz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十三、交通运输支出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43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十四、资源勘探工业信息等支出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十五、商业服务业等支出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十六、金融支出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十七、援助其他地区支出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十八、自然资源海洋气象等支出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十九、住房保障支出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ascii="Times New Roman" w:hAnsi="Times New Roman" w:eastAsia="仿宋_GB2312" w:cs="Times New Roman"/>
                <w:b/>
                <w:color w:val="000000"/>
                <w:sz w:val="22"/>
              </w:rPr>
            </w:pPr>
            <w:r>
              <w:rPr>
                <w:rFonts w:hint="eastAsia" w:ascii="宋体" w:hAnsi="宋体" w:eastAsia="宋体" w:cs="宋体"/>
                <w:i w:val="0"/>
                <w:iCs w:val="0"/>
                <w:snapToGrid w:val="0"/>
                <w:color w:val="000000"/>
                <w:kern w:val="0"/>
                <w:sz w:val="22"/>
                <w:szCs w:val="22"/>
                <w:u w:val="none"/>
                <w:lang w:val="en-US" w:eastAsia="zh-CN" w:bidi="ar"/>
              </w:rPr>
              <w:t>222.35</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二十、粮油物资储备支出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二十一、国有资本经营预算支出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79"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二十二、灾害防治及应急管理支出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二十三、其他支出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0"/>
                <w:szCs w:val="20"/>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二十四、债务还本支出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color w:val="000000"/>
                <w:sz w:val="22"/>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二十五、债务付息支出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ascii="Times New Roman" w:hAnsi="Times New Roman" w:eastAsia="仿宋_GB2312" w:cs="Times New Roman"/>
                <w:b/>
                <w:color w:val="000000"/>
                <w:sz w:val="22"/>
              </w:rPr>
            </w:pPr>
          </w:p>
        </w:tc>
      </w:tr>
      <w:tr>
        <w:tblPrEx>
          <w:tblCellMar>
            <w:top w:w="0" w:type="dxa"/>
            <w:left w:w="108" w:type="dxa"/>
            <w:bottom w:w="0" w:type="dxa"/>
            <w:right w:w="108" w:type="dxa"/>
          </w:tblCellMar>
        </w:tblPrEx>
        <w:trPr>
          <w:trHeight w:val="347"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left"/>
              <w:rPr>
                <w:rFonts w:ascii="Times New Roman" w:hAnsi="Times New Roman" w:eastAsia="仿宋_GB2312" w:cs="Times New Roman"/>
                <w:b/>
                <w:color w:val="000000"/>
                <w:kern w:val="0"/>
                <w:sz w:val="22"/>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0"/>
                <w:szCs w:val="20"/>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宋体" w:hAnsi="宋体" w:eastAsia="宋体" w:cs="宋体"/>
                <w:color w:val="000000"/>
                <w:sz w:val="22"/>
                <w:lang w:val="en-US" w:eastAsia="zh-CN"/>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二十六、抗疫特别国债安排的支出</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lang w:val="en-US" w:eastAsia="zh-CN"/>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3746.62</w:t>
            </w: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3746.62</w:t>
            </w: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使用非财政拨款结余（含专用结余）</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eastAsia" w:ascii="宋体" w:hAnsi="宋体" w:eastAsia="宋体" w:cs="宋体"/>
                <w:color w:val="000000"/>
                <w:sz w:val="22"/>
                <w:lang w:val="en-US" w:eastAsia="zh-CN"/>
              </w:rPr>
            </w:pP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结余分配</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eastAsia" w:ascii="宋体" w:hAnsi="宋体" w:eastAsia="宋体" w:cs="宋体"/>
                <w:color w:val="000000"/>
                <w:sz w:val="22"/>
                <w:lang w:val="en-US" w:eastAsia="zh-CN"/>
              </w:rPr>
            </w:pPr>
          </w:p>
        </w:tc>
      </w:tr>
      <w:tr>
        <w:tblPrEx>
          <w:tblCellMar>
            <w:top w:w="0" w:type="dxa"/>
            <w:left w:w="108" w:type="dxa"/>
            <w:bottom w:w="0" w:type="dxa"/>
            <w:right w:w="108" w:type="dxa"/>
          </w:tblCellMar>
        </w:tblPrEx>
        <w:trPr>
          <w:trHeight w:val="34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年初结转和结余</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ascii="Times New Roman" w:hAnsi="Times New Roman" w:eastAsia="仿宋_GB2312" w:cs="Times New Roman"/>
                <w:b/>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59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r>
      <w:tr>
        <w:tblPrEx>
          <w:tblCellMar>
            <w:top w:w="0" w:type="dxa"/>
            <w:left w:w="108" w:type="dxa"/>
            <w:bottom w:w="0" w:type="dxa"/>
            <w:right w:w="108" w:type="dxa"/>
          </w:tblCellMar>
        </w:tblPrEx>
        <w:trPr>
          <w:trHeight w:val="354" w:hRule="exact"/>
          <w:jc w:val="center"/>
        </w:trPr>
        <w:tc>
          <w:tcPr>
            <w:tcW w:w="3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right"/>
              <w:textAlignment w:val="center"/>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3746.62</w:t>
            </w:r>
          </w:p>
        </w:tc>
        <w:tc>
          <w:tcPr>
            <w:tcW w:w="37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b/>
                <w:color w:val="000000"/>
                <w:kern w:val="0"/>
                <w:sz w:val="22"/>
                <w:lang w:bidi="ar"/>
              </w:rPr>
            </w:pPr>
            <w:r>
              <w:rPr>
                <w:rFonts w:hint="eastAsia" w:ascii="宋体" w:hAnsi="宋体" w:eastAsia="宋体" w:cs="宋体"/>
                <w:b/>
                <w:bCs/>
                <w:i w:val="0"/>
                <w:iCs w:val="0"/>
                <w:snapToGrid w:val="0"/>
                <w:color w:val="000000"/>
                <w:kern w:val="0"/>
                <w:sz w:val="22"/>
                <w:szCs w:val="22"/>
                <w:u w:val="none"/>
                <w:lang w:val="en-US" w:eastAsia="zh-CN" w:bidi="ar"/>
              </w:rPr>
              <w:t>总计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Times New Roman" w:hAnsi="Times New Roman" w:eastAsia="仿宋_GB2312" w:cs="Times New Roman"/>
                <w:color w:val="000000"/>
                <w:kern w:val="0"/>
                <w:sz w:val="22"/>
                <w:lang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right"/>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3746.62</w:t>
            </w:r>
          </w:p>
        </w:tc>
      </w:tr>
    </w:tbl>
    <w:p>
      <w:pPr>
        <w:widowControl/>
        <w:jc w:val="left"/>
        <w:textAlignment w:val="center"/>
        <w:rPr>
          <w:rFonts w:hint="eastAsia" w:ascii="Times New Roman" w:hAnsi="Times New Roman" w:eastAsia="仿宋_GB2312" w:cs="Times New Roman"/>
          <w:color w:val="000000"/>
          <w:kern w:val="0"/>
          <w:sz w:val="24"/>
          <w:szCs w:val="24"/>
          <w:lang w:eastAsia="zh-CN" w:bidi="ar"/>
        </w:rPr>
      </w:pPr>
      <w:r>
        <w:rPr>
          <w:rFonts w:ascii="Times New Roman" w:hAnsi="Times New Roman" w:eastAsia="仿宋_GB2312" w:cs="Times New Roman"/>
          <w:color w:val="000000"/>
          <w:kern w:val="0"/>
          <w:sz w:val="24"/>
          <w:szCs w:val="24"/>
          <w:lang w:bidi="ar"/>
        </w:rPr>
        <w:t>注：1.本表反映部门本年度的总收支和年末结转结余情况。</w:t>
      </w:r>
    </w:p>
    <w:p>
      <w:pPr>
        <w:widowControl/>
        <w:ind w:firstLine="240" w:firstLineChars="10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pPr>
        <w:tabs>
          <w:tab w:val="left" w:pos="630"/>
          <w:tab w:val="left" w:pos="2100"/>
          <w:tab w:val="left" w:pos="3895"/>
          <w:tab w:val="left" w:pos="5690"/>
          <w:tab w:val="left" w:pos="7485"/>
          <w:tab w:val="left" w:pos="9280"/>
          <w:tab w:val="left" w:pos="11075"/>
          <w:tab w:val="left" w:pos="12870"/>
        </w:tabs>
        <w:ind w:left="13000" w:hanging="13000" w:hangingChars="6500"/>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10294" w:type="dxa"/>
        <w:jc w:val="center"/>
        <w:tblLayout w:type="fixed"/>
        <w:tblCellMar>
          <w:top w:w="0" w:type="dxa"/>
          <w:left w:w="0" w:type="dxa"/>
          <w:bottom w:w="0" w:type="dxa"/>
          <w:right w:w="0" w:type="dxa"/>
        </w:tblCellMar>
      </w:tblPr>
      <w:tblGrid>
        <w:gridCol w:w="1324"/>
        <w:gridCol w:w="1912"/>
        <w:gridCol w:w="1215"/>
        <w:gridCol w:w="1110"/>
        <w:gridCol w:w="1035"/>
        <w:gridCol w:w="1080"/>
        <w:gridCol w:w="780"/>
        <w:gridCol w:w="867"/>
        <w:gridCol w:w="971"/>
      </w:tblGrid>
      <w:tr>
        <w:tblPrEx>
          <w:tblCellMar>
            <w:top w:w="0" w:type="dxa"/>
            <w:left w:w="0" w:type="dxa"/>
            <w:bottom w:w="0" w:type="dxa"/>
            <w:right w:w="0" w:type="dxa"/>
          </w:tblCellMar>
        </w:tblPrEx>
        <w:trPr>
          <w:trHeight w:val="299" w:hRule="atLeast"/>
          <w:jc w:val="center"/>
        </w:trPr>
        <w:tc>
          <w:tcPr>
            <w:tcW w:w="323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2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0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7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8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9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12" w:hRule="exact"/>
          <w:jc w:val="center"/>
        </w:trPr>
        <w:tc>
          <w:tcPr>
            <w:tcW w:w="13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91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3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91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86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299" w:hRule="atLeast"/>
          <w:jc w:val="center"/>
        </w:trPr>
        <w:tc>
          <w:tcPr>
            <w:tcW w:w="3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2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1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0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0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8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9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302" w:hRule="atLeast"/>
          <w:jc w:val="center"/>
        </w:trPr>
        <w:tc>
          <w:tcPr>
            <w:tcW w:w="323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2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3746.62</w:t>
            </w:r>
          </w:p>
        </w:tc>
        <w:tc>
          <w:tcPr>
            <w:tcW w:w="11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3674.76</w:t>
            </w:r>
          </w:p>
        </w:tc>
        <w:tc>
          <w:tcPr>
            <w:tcW w:w="10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000000"/>
                <w:sz w:val="22"/>
                <w:lang w:val="en-US" w:eastAsia="zh-CN"/>
              </w:rPr>
            </w:pPr>
          </w:p>
        </w:tc>
        <w:tc>
          <w:tcPr>
            <w:tcW w:w="10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 xml:space="preserve">              </w:t>
            </w:r>
          </w:p>
        </w:tc>
        <w:tc>
          <w:tcPr>
            <w:tcW w:w="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000000"/>
                <w:sz w:val="22"/>
                <w:lang w:val="en-US" w:eastAsia="zh-CN"/>
              </w:rPr>
            </w:pPr>
          </w:p>
        </w:tc>
        <w:tc>
          <w:tcPr>
            <w:tcW w:w="8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color w:val="000000"/>
                <w:sz w:val="22"/>
                <w:lang w:val="en-US" w:eastAsia="zh-CN"/>
              </w:rPr>
            </w:pPr>
          </w:p>
        </w:tc>
        <w:tc>
          <w:tcPr>
            <w:tcW w:w="9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val="0"/>
                <w:bCs w:val="0"/>
                <w:color w:val="000000"/>
                <w:sz w:val="22"/>
                <w:lang w:val="en-US" w:eastAsia="zh-CN"/>
              </w:rPr>
            </w:pPr>
            <w:r>
              <w:rPr>
                <w:rFonts w:hint="eastAsia" w:ascii="宋体" w:hAnsi="宋体" w:eastAsia="宋体" w:cs="宋体"/>
                <w:b/>
                <w:bCs/>
                <w:i w:val="0"/>
                <w:iCs w:val="0"/>
                <w:snapToGrid w:val="0"/>
                <w:color w:val="000000"/>
                <w:kern w:val="0"/>
                <w:sz w:val="22"/>
                <w:szCs w:val="22"/>
                <w:u w:val="none"/>
                <w:lang w:val="en-US" w:eastAsia="zh-CN" w:bidi="ar"/>
              </w:rPr>
              <w:t>71.86</w:t>
            </w:r>
          </w:p>
        </w:tc>
      </w:tr>
      <w:tr>
        <w:tblPrEx>
          <w:tblCellMar>
            <w:top w:w="0" w:type="dxa"/>
            <w:left w:w="0" w:type="dxa"/>
            <w:bottom w:w="0" w:type="dxa"/>
            <w:right w:w="0" w:type="dxa"/>
          </w:tblCellMar>
        </w:tblPrEx>
        <w:trPr>
          <w:trHeight w:val="299"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2010101</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248.56</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248.56</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299"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2010301</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22.50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0.00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22.50</w:t>
            </w: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2010302</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49.36</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0.00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49.36</w:t>
            </w: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2013202</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1.60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2070102</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34.25</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34.25</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2070202</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sz w:val="24"/>
                <w:szCs w:val="24"/>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43.10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43.10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r>
      <w:tr>
        <w:tblPrEx>
          <w:tblCellMar>
            <w:top w:w="0" w:type="dxa"/>
            <w:left w:w="0" w:type="dxa"/>
            <w:bottom w:w="0" w:type="dxa"/>
            <w:right w:w="0" w:type="dxa"/>
          </w:tblCellMar>
        </w:tblPrEx>
        <w:trPr>
          <w:trHeight w:val="299"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2070801</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2320.01</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2320.01</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w:t>
            </w: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2070802</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Times New Roman" w:hAnsi="Times New Roman" w:eastAsia="仿宋_GB2312" w:cs="Times New Roman"/>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75.30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color w:val="000000"/>
                <w:sz w:val="22"/>
                <w:lang w:val="en-US" w:eastAsia="zh-CN"/>
              </w:rPr>
            </w:pPr>
            <w:r>
              <w:rPr>
                <w:rFonts w:hint="eastAsia" w:ascii="宋体" w:hAnsi="宋体" w:eastAsia="宋体" w:cs="宋体"/>
                <w:i w:val="0"/>
                <w:iCs w:val="0"/>
                <w:snapToGrid w:val="0"/>
                <w:color w:val="000000"/>
                <w:kern w:val="0"/>
                <w:sz w:val="22"/>
                <w:szCs w:val="22"/>
                <w:u w:val="none"/>
                <w:lang w:val="en-US" w:eastAsia="zh-CN" w:bidi="ar"/>
              </w:rPr>
              <w:t>75.30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 xml:space="preserve"> </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2070808</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广播电视事务</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135.60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color w:val="000000"/>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135.60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780"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2079999</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其他文化旅游体育与传媒支出</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118.60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118.60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780"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2080505</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296.68</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296.68</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970"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2080507</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对机关事业单位基本养老保险基金的补助</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5.79</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5.79</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299"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2080801</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死亡抚恤</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3.06</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3.06</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589"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2082701</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财政对失业保险基金的补助</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10.83</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10.83</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589"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2082702</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财政对工伤保险基金的补助</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13.93</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13.93</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780"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2082799</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其他财政对社会保险基金的补助</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13.09</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13.09</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589"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2089999</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其他社会保障和就业支出</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2101102</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123.81</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123.81</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398"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2120803</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城市建设支出</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r>
        <w:tblPrEx>
          <w:tblCellMar>
            <w:top w:w="0" w:type="dxa"/>
            <w:left w:w="0" w:type="dxa"/>
            <w:bottom w:w="0" w:type="dxa"/>
            <w:right w:w="0" w:type="dxa"/>
          </w:tblCellMar>
        </w:tblPrEx>
        <w:trPr>
          <w:trHeight w:val="405" w:hRule="atLeast"/>
          <w:jc w:val="center"/>
        </w:trPr>
        <w:tc>
          <w:tcPr>
            <w:tcW w:w="132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2210201</w:t>
            </w:r>
          </w:p>
        </w:tc>
        <w:tc>
          <w:tcPr>
            <w:tcW w:w="19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222.35</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222.35</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86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c>
          <w:tcPr>
            <w:tcW w:w="97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2"/>
                <w:lang w:val="en-US" w:eastAsia="zh-CN"/>
              </w:rPr>
            </w:pP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sectPr>
          <w:pgSz w:w="11906" w:h="16838"/>
          <w:pgMar w:top="1134" w:right="1134" w:bottom="1134" w:left="1134" w:header="851" w:footer="992" w:gutter="0"/>
          <w:paperSrc/>
          <w:cols w:space="0" w:num="1"/>
          <w:rtlGutter w:val="0"/>
          <w:docGrid w:type="lines" w:linePitch="312" w:charSpace="0"/>
        </w:sect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keepNext w:val="0"/>
        <w:keepLines w:val="0"/>
        <w:pageBreakBefore w:val="0"/>
        <w:widowControl/>
        <w:kinsoku w:val="0"/>
        <w:wordWrap/>
        <w:overflowPunct/>
        <w:topLinePunct w:val="0"/>
        <w:autoSpaceDE w:val="0"/>
        <w:autoSpaceDN w:val="0"/>
        <w:bidi w:val="0"/>
        <w:adjustRightInd w:val="0"/>
        <w:snapToGrid w:val="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ind w:firstLine="400" w:firstLineChars="200"/>
        <w:jc w:val="both"/>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14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436"/>
        <w:gridCol w:w="436"/>
        <w:gridCol w:w="4386"/>
        <w:gridCol w:w="1260"/>
        <w:gridCol w:w="1365"/>
        <w:gridCol w:w="1142"/>
        <w:gridCol w:w="1562"/>
        <w:gridCol w:w="1562"/>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276" w:type="dxa"/>
            <w:gridSpan w:val="4"/>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基本支出</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项目支出</w:t>
            </w:r>
          </w:p>
        </w:tc>
        <w:tc>
          <w:tcPr>
            <w:tcW w:w="1562"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上缴上级支出</w:t>
            </w:r>
          </w:p>
        </w:tc>
        <w:tc>
          <w:tcPr>
            <w:tcW w:w="1562"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经营支出</w:t>
            </w:r>
          </w:p>
        </w:tc>
        <w:tc>
          <w:tcPr>
            <w:tcW w:w="1647"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支出功能分类科目代码</w:t>
            </w:r>
          </w:p>
        </w:tc>
        <w:tc>
          <w:tcPr>
            <w:tcW w:w="4386" w:type="dxa"/>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科目名称</w:t>
            </w: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4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386" w:type="dxa"/>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4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890"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386" w:type="dxa"/>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4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18" w:type="dxa"/>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类</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款</w:t>
            </w:r>
          </w:p>
        </w:tc>
        <w:tc>
          <w:tcPr>
            <w:tcW w:w="436" w:type="dxa"/>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w:t>
            </w:r>
          </w:p>
        </w:tc>
        <w:tc>
          <w:tcPr>
            <w:tcW w:w="4386" w:type="dxa"/>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栏次</w:t>
            </w:r>
          </w:p>
        </w:tc>
        <w:tc>
          <w:tcPr>
            <w:tcW w:w="1260"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365"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142"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562"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562"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47"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18" w:type="dxa"/>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386" w:type="dxa"/>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snapToGrid w:val="0"/>
                <w:color w:val="000000"/>
                <w:kern w:val="0"/>
                <w:sz w:val="22"/>
                <w:szCs w:val="22"/>
                <w:u w:val="none"/>
                <w:lang w:val="en-US" w:eastAsia="zh-CN" w:bidi="ar"/>
              </w:rPr>
              <w:t>3746.62</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snapToGrid w:val="0"/>
                <w:color w:val="000000"/>
                <w:kern w:val="0"/>
                <w:sz w:val="22"/>
                <w:szCs w:val="22"/>
                <w:u w:val="none"/>
                <w:lang w:val="en-US" w:eastAsia="zh-CN" w:bidi="ar"/>
              </w:rPr>
              <w:t>3271.77</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snapToGrid w:val="0"/>
                <w:color w:val="000000"/>
                <w:kern w:val="0"/>
                <w:sz w:val="22"/>
                <w:szCs w:val="22"/>
                <w:u w:val="none"/>
                <w:lang w:val="en-US" w:eastAsia="zh-CN" w:bidi="ar"/>
              </w:rPr>
              <w:t>474.86</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2010101</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248.56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248.56</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2010301</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22.50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22.50</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2010302</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49.36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49.36</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2013202</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2070102</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34.25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34.25</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2070202</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43.10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43.10</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2070801</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行政运行</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2320.01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2320.01</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2070802</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一般行政管理事务</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75.30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75.30</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2070808</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广播电视事务</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135.60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135.60</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2079999</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其他文化旅游体育与传媒支出</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118.60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118.60</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2080505</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机关事业单位基本养老保险缴费支出</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296.68</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296.68</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2080507</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对机关事业单位基本养老保险基金的补助</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5.79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5.79</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2080801</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死亡抚恤</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3.06</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3.06</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2082701</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财政对失业保险基金的补助</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10.83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10.83</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2082702</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财政对工伤保险基金的补助</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13.93</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13.93</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2082799</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其他财政对社会保险基金的补助</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13.09</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13.09</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2089999</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其他社会保障和就业支出</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6.20</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2101102</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事业单位医疗</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123.81</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123.81</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2120803</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城市建设支出</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2"/>
                <w:szCs w:val="22"/>
                <w:u w:val="none"/>
                <w:lang w:val="en-US" w:eastAsia="zh-CN" w:bidi="ar"/>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89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2210201</w:t>
            </w:r>
          </w:p>
        </w:tc>
        <w:tc>
          <w:tcPr>
            <w:tcW w:w="43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住房公积金</w:t>
            </w:r>
          </w:p>
        </w:tc>
        <w:tc>
          <w:tcPr>
            <w:tcW w:w="12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222.35</w:t>
            </w: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222.35</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6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widowControl/>
        <w:spacing w:before="12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注：本表反映部门本年度各项支出情况。</w:t>
      </w:r>
    </w:p>
    <w:p>
      <w:pPr>
        <w:rPr>
          <w:rFonts w:ascii="Times New Roman" w:hAnsi="Times New Roman" w:eastAsia="仿宋_GB2312" w:cs="Times New Roman"/>
          <w:kern w:val="0"/>
          <w:sz w:val="24"/>
          <w:szCs w:val="24"/>
        </w:rPr>
        <w:sectPr>
          <w:pgSz w:w="16838" w:h="11906" w:orient="landscape"/>
          <w:pgMar w:top="1134" w:right="1134" w:bottom="1134" w:left="1134" w:header="851" w:footer="992" w:gutter="0"/>
          <w:paperSrc/>
          <w:cols w:space="0" w:num="1"/>
          <w:rtlGutter w:val="0"/>
          <w:docGrid w:type="lines" w:linePitch="312" w:charSpace="0"/>
        </w:sectPr>
      </w:pPr>
      <w:r>
        <w:rPr>
          <w:rFonts w:ascii="Times New Roman" w:hAnsi="Times New Roman" w:eastAsia="仿宋_GB2312" w:cs="Times New Roman"/>
          <w:kern w:val="0"/>
          <w:sz w:val="24"/>
          <w:szCs w:val="24"/>
        </w:rPr>
        <w:br w:type="page"/>
      </w:r>
    </w:p>
    <w:p>
      <w:pPr>
        <w:widowControl/>
        <w:spacing w:after="156" w:afterLines="50"/>
        <w:jc w:val="center"/>
        <w:textAlignment w:val="center"/>
        <w:rPr>
          <w:rFonts w:ascii="Times New Roman" w:hAnsi="Times New Roman" w:eastAsia="黑体" w:cs="Times New Roman"/>
          <w:color w:val="000000"/>
          <w:kern w:val="0"/>
          <w:sz w:val="36"/>
          <w:szCs w:val="36"/>
          <w:lang w:bidi="ar"/>
        </w:rPr>
      </w:pPr>
      <w:bookmarkStart w:id="0" w:name="RANGE!A1:I22"/>
      <w:bookmarkEnd w:id="0"/>
      <w:bookmarkStart w:id="1" w:name="RANGE!A1:F16"/>
      <w:r>
        <w:rPr>
          <w:rFonts w:ascii="Times New Roman" w:hAnsi="Times New Roman" w:eastAsia="黑体" w:cs="Times New Roman"/>
          <w:color w:val="000000"/>
          <w:kern w:val="0"/>
          <w:sz w:val="36"/>
          <w:szCs w:val="36"/>
          <w:lang w:bidi="ar"/>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ab/>
      </w:r>
      <w:r>
        <w:rPr>
          <w:rFonts w:hint="eastAsia" w:ascii="Times New Roman" w:hAnsi="Times New Roman" w:eastAsia="仿宋_GB2312" w:cs="Times New Roman"/>
          <w:color w:val="000000"/>
          <w:kern w:val="0"/>
          <w:sz w:val="20"/>
          <w:szCs w:val="20"/>
          <w:lang w:val="en-US" w:eastAsia="zh-CN"/>
        </w:rPr>
        <w:tab/>
      </w:r>
      <w:r>
        <w:rPr>
          <w:rFonts w:hint="eastAsia" w:ascii="Times New Roman" w:hAnsi="Times New Roman" w:eastAsia="仿宋_GB2312" w:cs="Times New Roman"/>
          <w:color w:val="000000"/>
          <w:kern w:val="0"/>
          <w:sz w:val="20"/>
          <w:szCs w:val="20"/>
          <w:lang w:val="en-US" w:eastAsia="zh-CN"/>
        </w:rPr>
        <w:tab/>
      </w:r>
      <w:r>
        <w:rPr>
          <w:rFonts w:hint="eastAsia" w:ascii="Times New Roman" w:hAnsi="Times New Roman" w:eastAsia="仿宋_GB2312" w:cs="Times New Roman"/>
          <w:color w:val="000000"/>
          <w:kern w:val="0"/>
          <w:sz w:val="20"/>
          <w:szCs w:val="20"/>
          <w:lang w:val="en-US" w:eastAsia="zh-CN"/>
        </w:rPr>
        <w:tab/>
      </w: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0" w:type="auto"/>
        <w:jc w:val="center"/>
        <w:tblLayout w:type="fixed"/>
        <w:tblCellMar>
          <w:top w:w="0" w:type="dxa"/>
          <w:left w:w="108" w:type="dxa"/>
          <w:bottom w:w="0" w:type="dxa"/>
          <w:right w:w="108" w:type="dxa"/>
        </w:tblCellMar>
      </w:tblPr>
      <w:tblGrid>
        <w:gridCol w:w="3047"/>
        <w:gridCol w:w="902"/>
        <w:gridCol w:w="994"/>
        <w:gridCol w:w="3392"/>
        <w:gridCol w:w="863"/>
        <w:gridCol w:w="922"/>
        <w:gridCol w:w="1355"/>
        <w:gridCol w:w="1518"/>
        <w:gridCol w:w="1426"/>
      </w:tblGrid>
      <w:tr>
        <w:tblPrEx>
          <w:tblCellMar>
            <w:top w:w="0" w:type="dxa"/>
            <w:left w:w="108" w:type="dxa"/>
            <w:bottom w:w="0" w:type="dxa"/>
            <w:right w:w="108" w:type="dxa"/>
          </w:tblCellMar>
        </w:tblPrEx>
        <w:trPr>
          <w:trHeight w:val="90" w:hRule="atLeast"/>
          <w:jc w:val="center"/>
        </w:trPr>
        <w:tc>
          <w:tcPr>
            <w:tcW w:w="494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收入</w:t>
            </w:r>
          </w:p>
        </w:tc>
        <w:tc>
          <w:tcPr>
            <w:tcW w:w="9476"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支出</w:t>
            </w:r>
          </w:p>
        </w:tc>
      </w:tr>
      <w:tr>
        <w:tblPrEx>
          <w:tblCellMar>
            <w:top w:w="0" w:type="dxa"/>
            <w:left w:w="108" w:type="dxa"/>
            <w:bottom w:w="0" w:type="dxa"/>
            <w:right w:w="108" w:type="dxa"/>
          </w:tblCellMar>
        </w:tblPrEx>
        <w:trPr>
          <w:trHeight w:val="174"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    目</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行次</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金额</w:t>
            </w: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项    目</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行次</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合计</w:t>
            </w:r>
          </w:p>
        </w:tc>
        <w:tc>
          <w:tcPr>
            <w:tcW w:w="1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一般公共预算财政拨款</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政府性基金预算财政拨款</w:t>
            </w:r>
          </w:p>
        </w:tc>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国有资本经营预算财政拨款</w:t>
            </w:r>
          </w:p>
        </w:tc>
      </w:tr>
      <w:tr>
        <w:tblPrEx>
          <w:tblCellMar>
            <w:top w:w="0" w:type="dxa"/>
            <w:left w:w="108" w:type="dxa"/>
            <w:bottom w:w="0" w:type="dxa"/>
            <w:right w:w="108" w:type="dxa"/>
          </w:tblCellMar>
        </w:tblPrEx>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栏    次</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1</w:t>
            </w: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栏    次</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　</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2</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3</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4</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5</w:t>
            </w: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一、一般公共预算财政拨款</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Times New Roman" w:hAnsi="Times New Roman" w:eastAsia="仿宋_GB2312" w:cs="Times New Roman"/>
                <w:kern w:val="0"/>
                <w:sz w:val="18"/>
                <w:szCs w:val="18"/>
                <w:lang w:val="en-US"/>
              </w:rPr>
            </w:pPr>
            <w:r>
              <w:rPr>
                <w:rFonts w:hint="eastAsia" w:ascii="宋体" w:hAnsi="宋体" w:eastAsia="宋体" w:cs="宋体"/>
                <w:i w:val="0"/>
                <w:iCs w:val="0"/>
                <w:snapToGrid w:val="0"/>
                <w:color w:val="000000"/>
                <w:kern w:val="0"/>
                <w:sz w:val="18"/>
                <w:szCs w:val="18"/>
                <w:u w:val="none"/>
                <w:lang w:val="en-US" w:eastAsia="zh-CN" w:bidi="ar"/>
              </w:rPr>
              <w:t>3672.76</w:t>
            </w: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一、一般公共服务支出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33</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250.16</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250.16</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二、政府性基金预算财政拨款</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二、外交支出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34</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三、国有资本经营预算财政拨款</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三、国防支出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35</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四、公共安全支出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36</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五、教育支出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37</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default" w:ascii="Times New Roman" w:hAnsi="Times New Roman" w:eastAsia="仿宋_GB2312" w:cs="Times New Roman"/>
                <w:kern w:val="0"/>
                <w:sz w:val="18"/>
                <w:szCs w:val="18"/>
                <w:lang w:val="en-US"/>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6</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六、科学技术支出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38</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7</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七、文化旅游体育与传媒支出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39</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2726.86</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2726.86</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8</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八、社会保障和就业支出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40</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349.58</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349.58</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9</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九、卫生健康支出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41</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123.81</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123.81</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10</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十、节能环保支出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42</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11</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十一、城乡社区支出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43</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12</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十二、农林水支出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44</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13</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十三、交通运输支出</w:t>
            </w:r>
          </w:p>
        </w:tc>
        <w:tc>
          <w:tcPr>
            <w:tcW w:w="8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45</w:t>
            </w:r>
          </w:p>
        </w:tc>
        <w:tc>
          <w:tcPr>
            <w:tcW w:w="9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十四、资源勘探工业信息等支出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46</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15</w:t>
            </w:r>
          </w:p>
        </w:tc>
        <w:tc>
          <w:tcPr>
            <w:tcW w:w="9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十五、商业服务业等支出</w:t>
            </w:r>
          </w:p>
        </w:tc>
        <w:tc>
          <w:tcPr>
            <w:tcW w:w="863"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47</w:t>
            </w:r>
          </w:p>
        </w:tc>
        <w:tc>
          <w:tcPr>
            <w:tcW w:w="922"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16</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十六、金融支出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48</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17</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十七、援助其他地区支出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49</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18</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十八、自然资源海洋气象等支出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50</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19</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十九、住房保障支出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51</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222.35</w:t>
            </w: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222.35</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20</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二十、粮油物资储备支出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52</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21</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二十一、国有资本经营预算支出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53</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22</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二十二、灾害防治及应急管理支出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54</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23</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二十三、其他支出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55</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24</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二十四、债务还本支出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56</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25</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二十五、债务付息支出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57</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26</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二十六、抗疫特别国债安排的支出</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58</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b/>
                <w:bCs/>
                <w:ker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本年收入合计</w:t>
            </w: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27</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Times New Roman" w:hAnsi="Times New Roman" w:eastAsia="仿宋_GB2312" w:cs="Times New Roman"/>
                <w:kern w:val="0"/>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3674.76</w:t>
            </w: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b/>
                <w:bCs/>
                <w:ker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本年支出合计</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59</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Times New Roman" w:hAnsi="Times New Roman" w:eastAsia="仿宋_GB2312" w:cs="Times New Roman"/>
                <w:kern w:val="0"/>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3674.76</w:t>
            </w: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Times New Roman" w:hAnsi="Times New Roman" w:eastAsia="仿宋_GB2312" w:cs="Times New Roman"/>
                <w:kern w:val="0"/>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3672.76</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年初财政拨款结转和结余</w:t>
            </w: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28</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0.00</w:t>
            </w: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年末财政拨款结转和结余</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60</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一般公共预算财政拨款</w:t>
            </w: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29</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0.00</w:t>
            </w: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61</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政府性基金预算财政拨款</w:t>
            </w: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30</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62</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0"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 xml:space="preserve">  国有资本经营预算财政拨款</w:t>
            </w: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31</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kern w:val="0"/>
                <w:sz w:val="18"/>
                <w:szCs w:val="18"/>
              </w:rPr>
            </w:pP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ascii="Times New Roman" w:hAnsi="Times New Roman" w:eastAsia="仿宋_GB2312" w:cs="Times New Roman"/>
                <w:b/>
                <w:bCs/>
                <w:kern w:val="0"/>
                <w:sz w:val="18"/>
                <w:szCs w:val="18"/>
              </w:rPr>
            </w:pP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63</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hint="eastAsia" w:ascii="Times New Roman" w:hAnsi="Times New Roman" w:eastAsia="仿宋_GB2312" w:cs="Times New Roman"/>
                <w:kern w:val="0"/>
                <w:sz w:val="18"/>
                <w:szCs w:val="18"/>
                <w:lang w:val="en-US" w:eastAsia="zh-CN"/>
              </w:rPr>
            </w:pP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r>
        <w:trPr>
          <w:trHeight w:val="92" w:hRule="atLeast"/>
          <w:jc w:val="center"/>
        </w:trPr>
        <w:tc>
          <w:tcPr>
            <w:tcW w:w="304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b/>
                <w:bCs/>
                <w:ker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90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32</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Times New Roman" w:hAnsi="Times New Roman" w:eastAsia="仿宋_GB2312" w:cs="Times New Roman"/>
                <w:kern w:val="0"/>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3674.76</w:t>
            </w:r>
          </w:p>
        </w:tc>
        <w:tc>
          <w:tcPr>
            <w:tcW w:w="33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b/>
                <w:bCs/>
                <w:kern w:val="0"/>
                <w:sz w:val="18"/>
                <w:szCs w:val="18"/>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Times New Roman" w:hAnsi="Times New Roman" w:eastAsia="仿宋_GB2312" w:cs="Times New Roman"/>
                <w:kern w:val="0"/>
                <w:sz w:val="18"/>
                <w:szCs w:val="18"/>
              </w:rPr>
            </w:pPr>
            <w:r>
              <w:rPr>
                <w:rFonts w:hint="eastAsia" w:ascii="宋体" w:hAnsi="宋体" w:eastAsia="宋体" w:cs="宋体"/>
                <w:i w:val="0"/>
                <w:iCs w:val="0"/>
                <w:snapToGrid w:val="0"/>
                <w:color w:val="000000"/>
                <w:kern w:val="0"/>
                <w:sz w:val="18"/>
                <w:szCs w:val="18"/>
                <w:u w:val="none"/>
                <w:lang w:val="en-US" w:eastAsia="zh-CN" w:bidi="ar"/>
              </w:rPr>
              <w:t>64</w:t>
            </w:r>
          </w:p>
        </w:tc>
        <w:tc>
          <w:tcPr>
            <w:tcW w:w="92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Times New Roman" w:hAnsi="Times New Roman" w:eastAsia="仿宋_GB2312" w:cs="Times New Roman"/>
                <w:kern w:val="0"/>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3674.76</w:t>
            </w:r>
          </w:p>
        </w:tc>
        <w:tc>
          <w:tcPr>
            <w:tcW w:w="13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Times New Roman" w:hAnsi="Times New Roman" w:eastAsia="仿宋_GB2312" w:cs="Times New Roman"/>
                <w:kern w:val="0"/>
                <w:sz w:val="18"/>
                <w:szCs w:val="18"/>
                <w:lang w:val="en-US" w:eastAsia="zh-CN"/>
              </w:rPr>
            </w:pPr>
            <w:r>
              <w:rPr>
                <w:rFonts w:hint="eastAsia" w:ascii="宋体" w:hAnsi="宋体" w:eastAsia="宋体" w:cs="宋体"/>
                <w:i w:val="0"/>
                <w:iCs w:val="0"/>
                <w:snapToGrid w:val="0"/>
                <w:color w:val="000000"/>
                <w:kern w:val="0"/>
                <w:sz w:val="18"/>
                <w:szCs w:val="18"/>
                <w:u w:val="none"/>
                <w:lang w:val="en-US" w:eastAsia="zh-CN" w:bidi="ar"/>
              </w:rPr>
              <w:t>3672.76</w:t>
            </w:r>
          </w:p>
        </w:tc>
        <w:tc>
          <w:tcPr>
            <w:tcW w:w="15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ascii="Times New Roman" w:hAnsi="Times New Roman" w:eastAsia="仿宋_GB2312" w:cs="Times New Roman"/>
                <w:b/>
                <w:bCs/>
                <w:kern w:val="0"/>
                <w:sz w:val="18"/>
                <w:szCs w:val="18"/>
              </w:rPr>
            </w:pPr>
            <w:r>
              <w:rPr>
                <w:rFonts w:hint="eastAsia" w:ascii="宋体" w:hAnsi="宋体" w:eastAsia="宋体" w:cs="宋体"/>
                <w:i w:val="0"/>
                <w:iCs w:val="0"/>
                <w:snapToGrid w:val="0"/>
                <w:color w:val="000000"/>
                <w:kern w:val="0"/>
                <w:sz w:val="18"/>
                <w:szCs w:val="18"/>
                <w:u w:val="none"/>
                <w:lang w:val="en-US" w:eastAsia="zh-CN" w:bidi="ar"/>
              </w:rPr>
              <w:t>2.00</w:t>
            </w:r>
          </w:p>
        </w:tc>
        <w:tc>
          <w:tcPr>
            <w:tcW w:w="14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right"/>
              <w:rPr>
                <w:rFonts w:ascii="Times New Roman" w:hAnsi="Times New Roman" w:eastAsia="仿宋_GB2312" w:cs="Times New Roman"/>
                <w:b/>
                <w:bCs/>
                <w:kern w:val="0"/>
                <w:sz w:val="18"/>
                <w:szCs w:val="18"/>
              </w:rPr>
            </w:pPr>
          </w:p>
        </w:tc>
      </w:tr>
    </w:tbl>
    <w:p>
      <w:pPr>
        <w:widowControl/>
        <w:jc w:val="left"/>
        <w:rPr>
          <w:rFonts w:hint="eastAsia" w:ascii="Times New Roman" w:hAnsi="Times New Roman" w:eastAsia="仿宋_GB2312" w:cs="Times New Roman"/>
          <w:kern w:val="0"/>
          <w:sz w:val="24"/>
          <w:szCs w:val="24"/>
          <w:lang w:eastAsia="zh-CN"/>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r>
        <w:rPr>
          <w:rFonts w:hint="eastAsia" w:ascii="Times New Roman" w:hAnsi="Times New Roman" w:eastAsia="仿宋_GB2312" w:cs="Times New Roman"/>
          <w:spacing w:val="-6"/>
          <w:kern w:val="0"/>
          <w:sz w:val="24"/>
          <w:szCs w:val="24"/>
          <w:lang w:eastAsia="zh-CN"/>
        </w:rPr>
        <w:t>。</w:t>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hint="eastAsia" w:ascii="Times New Roman" w:hAnsi="Times New Roman" w:eastAsia="仿宋_GB2312" w:cs="Times New Roman"/>
          <w:color w:val="000000"/>
          <w:kern w:val="0"/>
          <w:szCs w:val="21"/>
          <w:lang w:val="en-US" w:eastAsia="zh-CN"/>
        </w:rPr>
        <w:tab/>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14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1280"/>
        <w:gridCol w:w="1280"/>
        <w:gridCol w:w="1280"/>
        <w:gridCol w:w="5297"/>
        <w:gridCol w:w="1662"/>
        <w:gridCol w:w="1662"/>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tblHeader/>
          <w:jc w:val="center"/>
        </w:trPr>
        <w:tc>
          <w:tcPr>
            <w:tcW w:w="9137" w:type="dxa"/>
            <w:gridSpan w:val="4"/>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sz w:val="21"/>
                <w:szCs w:val="21"/>
                <w:u w:val="none"/>
              </w:rPr>
            </w:pPr>
            <w:r>
              <w:rPr>
                <w:rFonts w:hint="eastAsia" w:ascii="宋体" w:hAnsi="宋体" w:eastAsia="宋体" w:cs="宋体"/>
                <w:b/>
                <w:i w:val="0"/>
                <w:iCs w:val="0"/>
                <w:snapToGrid w:val="0"/>
                <w:color w:val="000000"/>
                <w:kern w:val="0"/>
                <w:sz w:val="21"/>
                <w:szCs w:val="21"/>
                <w:u w:val="none"/>
                <w:lang w:val="en-US" w:eastAsia="zh-CN" w:bidi="ar"/>
              </w:rPr>
              <w:t>项目</w:t>
            </w:r>
          </w:p>
        </w:tc>
        <w:tc>
          <w:tcPr>
            <w:tcW w:w="4992" w:type="dxa"/>
            <w:gridSpan w:val="3"/>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default" w:ascii="宋体" w:hAnsi="宋体" w:eastAsia="宋体" w:cs="宋体"/>
                <w:b/>
                <w:i w:val="0"/>
                <w:iCs w:val="0"/>
                <w:color w:val="000000"/>
                <w:sz w:val="21"/>
                <w:szCs w:val="21"/>
                <w:u w:val="none"/>
                <w:lang w:val="en-US"/>
              </w:rPr>
            </w:pPr>
            <w:r>
              <w:rPr>
                <w:rFonts w:hint="eastAsia" w:ascii="宋体" w:hAnsi="宋体" w:eastAsia="宋体" w:cs="宋体"/>
                <w:b/>
                <w:i w:val="0"/>
                <w:iCs w:val="0"/>
                <w:snapToGrid w:val="0"/>
                <w:color w:val="000000"/>
                <w:kern w:val="0"/>
                <w:sz w:val="21"/>
                <w:szCs w:val="21"/>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840" w:type="dxa"/>
            <w:gridSpan w:val="3"/>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sz w:val="21"/>
                <w:szCs w:val="21"/>
                <w:u w:val="none"/>
              </w:rPr>
            </w:pPr>
            <w:r>
              <w:rPr>
                <w:rFonts w:hint="eastAsia" w:ascii="宋体" w:hAnsi="宋体" w:eastAsia="宋体" w:cs="宋体"/>
                <w:b/>
                <w:i w:val="0"/>
                <w:iCs w:val="0"/>
                <w:snapToGrid w:val="0"/>
                <w:color w:val="000000"/>
                <w:kern w:val="0"/>
                <w:sz w:val="21"/>
                <w:szCs w:val="21"/>
                <w:u w:val="none"/>
                <w:lang w:val="en-US" w:eastAsia="zh-CN" w:bidi="ar"/>
              </w:rPr>
              <w:t>支出功能分类科目代码</w:t>
            </w:r>
          </w:p>
        </w:tc>
        <w:tc>
          <w:tcPr>
            <w:tcW w:w="5297"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sz w:val="21"/>
                <w:szCs w:val="21"/>
                <w:u w:val="none"/>
              </w:rPr>
            </w:pPr>
            <w:r>
              <w:rPr>
                <w:rFonts w:hint="eastAsia" w:ascii="宋体" w:hAnsi="宋体" w:eastAsia="宋体" w:cs="宋体"/>
                <w:b/>
                <w:i w:val="0"/>
                <w:iCs w:val="0"/>
                <w:snapToGrid w:val="0"/>
                <w:color w:val="000000"/>
                <w:kern w:val="0"/>
                <w:sz w:val="21"/>
                <w:szCs w:val="21"/>
                <w:u w:val="none"/>
                <w:lang w:val="en-US" w:eastAsia="zh-CN" w:bidi="ar"/>
              </w:rPr>
              <w:t>科目名称</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sz w:val="21"/>
                <w:szCs w:val="21"/>
                <w:u w:val="none"/>
              </w:rPr>
            </w:pPr>
            <w:r>
              <w:rPr>
                <w:rFonts w:hint="eastAsia" w:ascii="宋体" w:hAnsi="宋体" w:eastAsia="宋体" w:cs="宋体"/>
                <w:b/>
                <w:i w:val="0"/>
                <w:iCs w:val="0"/>
                <w:snapToGrid w:val="0"/>
                <w:color w:val="000000"/>
                <w:kern w:val="0"/>
                <w:sz w:val="21"/>
                <w:szCs w:val="21"/>
                <w:u w:val="none"/>
                <w:lang w:val="en-US" w:eastAsia="zh-CN" w:bidi="ar"/>
              </w:rPr>
              <w:t>合计</w:t>
            </w:r>
          </w:p>
        </w:tc>
        <w:tc>
          <w:tcPr>
            <w:tcW w:w="1662"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sz w:val="21"/>
                <w:szCs w:val="21"/>
                <w:u w:val="none"/>
              </w:rPr>
            </w:pPr>
            <w:r>
              <w:rPr>
                <w:rFonts w:hint="eastAsia" w:ascii="宋体" w:hAnsi="宋体" w:eastAsia="宋体" w:cs="宋体"/>
                <w:b/>
                <w:i w:val="0"/>
                <w:iCs w:val="0"/>
                <w:snapToGrid w:val="0"/>
                <w:color w:val="000000"/>
                <w:kern w:val="0"/>
                <w:sz w:val="21"/>
                <w:szCs w:val="21"/>
                <w:u w:val="none"/>
                <w:lang w:val="en-US" w:eastAsia="zh-CN" w:bidi="ar"/>
              </w:rPr>
              <w:t>基本支出</w:t>
            </w:r>
          </w:p>
        </w:tc>
        <w:tc>
          <w:tcPr>
            <w:tcW w:w="1668"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b/>
                <w:i w:val="0"/>
                <w:iCs w:val="0"/>
                <w:color w:val="000000"/>
                <w:sz w:val="21"/>
                <w:szCs w:val="21"/>
                <w:u w:val="none"/>
              </w:rPr>
            </w:pPr>
            <w:r>
              <w:rPr>
                <w:rFonts w:hint="eastAsia" w:ascii="宋体" w:hAnsi="宋体" w:eastAsia="宋体" w:cs="宋体"/>
                <w:b/>
                <w:i w:val="0"/>
                <w:iCs w:val="0"/>
                <w:snapToGrid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blHeader/>
          <w:jc w:val="center"/>
        </w:trPr>
        <w:tc>
          <w:tcPr>
            <w:tcW w:w="3840"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b/>
                <w:i w:val="0"/>
                <w:iCs w:val="0"/>
                <w:color w:val="000000"/>
                <w:sz w:val="21"/>
                <w:szCs w:val="21"/>
                <w:u w:val="none"/>
                <w:lang w:eastAsia="zh-CN"/>
              </w:rPr>
            </w:pPr>
          </w:p>
        </w:tc>
        <w:tc>
          <w:tcPr>
            <w:tcW w:w="529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b/>
                <w:i w:val="0"/>
                <w:iCs w:val="0"/>
                <w:color w:val="000000"/>
                <w:sz w:val="21"/>
                <w:szCs w:val="21"/>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b/>
                <w:i w:val="0"/>
                <w:iCs w:val="0"/>
                <w:color w:val="000000"/>
                <w:sz w:val="21"/>
                <w:szCs w:val="21"/>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b/>
                <w:i w:val="0"/>
                <w:iCs w:val="0"/>
                <w:color w:val="000000"/>
                <w:sz w:val="21"/>
                <w:szCs w:val="21"/>
                <w:u w:val="none"/>
                <w:lang w:eastAsia="zh-CN"/>
              </w:rPr>
            </w:pPr>
          </w:p>
        </w:tc>
        <w:tc>
          <w:tcPr>
            <w:tcW w:w="1668"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right"/>
              <w:rPr>
                <w:rFonts w:hint="eastAsia" w:ascii="宋体" w:hAnsi="宋体" w:eastAsia="宋体" w:cs="宋体"/>
                <w:b/>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312" w:hRule="atLeast"/>
          <w:tblHeader/>
          <w:jc w:val="center"/>
        </w:trPr>
        <w:tc>
          <w:tcPr>
            <w:tcW w:w="3840" w:type="dxa"/>
            <w:gridSpan w:val="3"/>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b/>
                <w:i w:val="0"/>
                <w:iCs w:val="0"/>
                <w:color w:val="000000"/>
                <w:sz w:val="21"/>
                <w:szCs w:val="21"/>
                <w:u w:val="none"/>
                <w:lang w:eastAsia="zh-CN"/>
              </w:rPr>
            </w:pPr>
          </w:p>
        </w:tc>
        <w:tc>
          <w:tcPr>
            <w:tcW w:w="5297"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b/>
                <w:i w:val="0"/>
                <w:iCs w:val="0"/>
                <w:color w:val="000000"/>
                <w:sz w:val="21"/>
                <w:szCs w:val="21"/>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right"/>
              <w:rPr>
                <w:rFonts w:hint="eastAsia" w:ascii="宋体" w:hAnsi="宋体" w:eastAsia="宋体" w:cs="宋体"/>
                <w:b/>
                <w:i w:val="0"/>
                <w:iCs w:val="0"/>
                <w:color w:val="000000"/>
                <w:sz w:val="21"/>
                <w:szCs w:val="21"/>
                <w:u w:val="none"/>
                <w:lang w:eastAsia="zh-CN"/>
              </w:rPr>
            </w:pPr>
          </w:p>
        </w:tc>
        <w:tc>
          <w:tcPr>
            <w:tcW w:w="1662"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right"/>
              <w:rPr>
                <w:rFonts w:hint="eastAsia" w:ascii="宋体" w:hAnsi="宋体" w:eastAsia="宋体" w:cs="宋体"/>
                <w:b/>
                <w:i w:val="0"/>
                <w:iCs w:val="0"/>
                <w:color w:val="000000"/>
                <w:sz w:val="21"/>
                <w:szCs w:val="21"/>
                <w:u w:val="none"/>
                <w:lang w:eastAsia="zh-CN"/>
              </w:rPr>
            </w:pPr>
          </w:p>
        </w:tc>
        <w:tc>
          <w:tcPr>
            <w:tcW w:w="1668"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right"/>
              <w:rPr>
                <w:rFonts w:hint="eastAsia" w:ascii="宋体" w:hAnsi="宋体" w:eastAsia="宋体" w:cs="宋体"/>
                <w:b/>
                <w:i w:val="0"/>
                <w:iCs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8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类</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款</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项</w:t>
            </w:r>
          </w:p>
        </w:tc>
        <w:tc>
          <w:tcPr>
            <w:tcW w:w="5297"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栏次</w:t>
            </w:r>
          </w:p>
        </w:tc>
        <w:tc>
          <w:tcPr>
            <w:tcW w:w="1662" w:type="dxa"/>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662" w:type="dxa"/>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668" w:type="dxa"/>
            <w:tcBorders>
              <w:top w:val="single" w:color="auto" w:sz="4" w:space="0"/>
              <w:left w:val="single" w:color="auto" w:sz="4" w:space="0"/>
              <w:bottom w:val="single" w:color="auto" w:sz="4" w:space="0"/>
              <w:right w:val="single" w:color="auto" w:sz="4" w:space="0"/>
            </w:tcBorders>
            <w:shd w:val="clear" w:color="auto" w:fill="F1F1F1"/>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128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i w:val="0"/>
                <w:iCs w:val="0"/>
                <w:color w:val="000000"/>
                <w:sz w:val="21"/>
                <w:szCs w:val="21"/>
                <w:u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i w:val="0"/>
                <w:iCs w:val="0"/>
                <w:color w:val="000000"/>
                <w:sz w:val="21"/>
                <w:szCs w:val="21"/>
                <w:u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pPr>
              <w:snapToGrid w:val="0"/>
              <w:jc w:val="center"/>
              <w:rPr>
                <w:rFonts w:hint="eastAsia" w:ascii="宋体" w:hAnsi="宋体" w:eastAsia="宋体" w:cs="宋体"/>
                <w:i w:val="0"/>
                <w:iCs w:val="0"/>
                <w:color w:val="000000"/>
                <w:sz w:val="21"/>
                <w:szCs w:val="21"/>
                <w:u w:val="none"/>
              </w:rPr>
            </w:pPr>
          </w:p>
        </w:tc>
        <w:tc>
          <w:tcPr>
            <w:tcW w:w="5297" w:type="dxa"/>
            <w:tcBorders>
              <w:top w:val="single" w:color="auto" w:sz="4" w:space="0"/>
              <w:left w:val="single" w:color="auto" w:sz="4" w:space="0"/>
              <w:bottom w:val="single" w:color="auto" w:sz="4" w:space="0"/>
              <w:right w:val="single" w:color="auto" w:sz="4" w:space="0"/>
            </w:tcBorders>
            <w:shd w:val="clear" w:color="auto" w:fill="F1F1F1"/>
            <w:vAlign w:val="center"/>
          </w:tcPr>
          <w:p>
            <w:pPr>
              <w:keepNext w:val="0"/>
              <w:keepLines w:val="0"/>
              <w:widowControl/>
              <w:suppressLineNumbers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3672.76</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3249.26</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2010101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行政运行</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248.56</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248.56</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2013202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一般行政管理事务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2070102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一般行政管理事务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34.25</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2070202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一般行政管理事务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43.10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2070801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行政运行</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2320.01</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2,320.01</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2070802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一般行政管理事务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75.30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2070808</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广播电视事务</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135.60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2079999</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其他文化旅游体育与传媒支出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118.60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2080505</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机关事业单位基本养老保险缴费支出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296.68</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296.68</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2080507</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对机关事业单位基本养老保险基金的补助</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5.79</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2080801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死亡抚恤</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3.06</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2082701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财政对失业保险基金的补助</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10.83</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10.83</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2082702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财政对工伤保险基金的补助</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13.93</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13.93</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2082799</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其他财政对社会保险基金的补助</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13.09</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13.09</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2089999</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其他社会保障和就业支出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6.20</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2101102</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事业单位医疗</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123.81</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123.81</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2120803</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城市建设支出</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color w:val="000000"/>
                <w:sz w:val="21"/>
                <w:szCs w:val="21"/>
                <w:u w:val="none"/>
              </w:rPr>
            </w:pP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8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2210201</w:t>
            </w:r>
          </w:p>
        </w:tc>
        <w:tc>
          <w:tcPr>
            <w:tcW w:w="529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住房公积金</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222.35</w:t>
            </w:r>
          </w:p>
        </w:tc>
        <w:tc>
          <w:tcPr>
            <w:tcW w:w="166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222.35</w:t>
            </w:r>
          </w:p>
        </w:tc>
        <w:tc>
          <w:tcPr>
            <w:tcW w:w="1668"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right"/>
              <w:rPr>
                <w:rFonts w:hint="eastAsia" w:ascii="宋体" w:hAnsi="宋体" w:eastAsia="宋体" w:cs="宋体"/>
                <w:i w:val="0"/>
                <w:iCs w:val="0"/>
                <w:snapToGrid w:val="0"/>
                <w:color w:val="000000"/>
                <w:kern w:val="0"/>
                <w:sz w:val="21"/>
                <w:szCs w:val="21"/>
                <w:u w:val="none"/>
                <w:lang w:val="en-US" w:eastAsia="zh-CN" w:bidi="ar"/>
              </w:rPr>
            </w:pP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15039" w:type="dxa"/>
        <w:tblInd w:w="-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3443"/>
        <w:gridCol w:w="1078"/>
        <w:gridCol w:w="1421"/>
        <w:gridCol w:w="1791"/>
        <w:gridCol w:w="955"/>
        <w:gridCol w:w="1664"/>
        <w:gridCol w:w="271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5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人员经费</w:t>
            </w:r>
          </w:p>
        </w:tc>
        <w:tc>
          <w:tcPr>
            <w:tcW w:w="942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科目编码</w:t>
            </w:r>
          </w:p>
        </w:tc>
        <w:tc>
          <w:tcPr>
            <w:tcW w:w="3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科目名称</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决算数</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科目编码</w:t>
            </w:r>
          </w:p>
        </w:tc>
        <w:tc>
          <w:tcPr>
            <w:tcW w:w="1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科目名称</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决算数</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科目编码</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科目名称</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3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工资福利支出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2929.67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商品和服务支出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276.02</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307</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债务利息及费用支出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30101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基本工资</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776.89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30201</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办公费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26.94</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30701</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国内债务付息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30102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津贴补贴</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502.40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30202</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印刷费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3.12</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30702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国外债务付息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30103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奖金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603.52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30203</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咨询费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资本性支出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30106</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伙食补助费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30204</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手续费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0.04</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31001</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房屋建筑物购建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30107</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绩效工资</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275.78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水费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办公设备购置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30108</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机关事业单位基本养老保险缴费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140.05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22.04</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31003</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专用设备购置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30109</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职业年金缴费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30207</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邮电费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31005</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基础设施建设</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30110</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职工基本医疗保险缴费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123.87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30208</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取暖费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31006</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大型修缮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30111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公务员医疗补助缴费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30209</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物业管理费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31007</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信息网络及软件购置更新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30112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其他社会保障缴费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38.39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30211</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差旅费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30.52</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31008</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物资储备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30113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住房公积金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417.85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30212</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因公出国（境）费用</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31009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土地补偿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30114</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医疗费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30213</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维修（护）费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28.22</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31010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安置补助</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30199</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其他工资福利支出</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50.93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30214</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租赁费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2.21</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31011</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地上附着物和青苗补偿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对个人和家庭的补助</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32.63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会议费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0.23</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31012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拆迁补偿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30301</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离休费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培训费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0.10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31013</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公务用车购置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30302</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退休费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30217</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公务接待费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2.03</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31019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其他交通工具购置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30303</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退职（役）费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30218</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专用材料费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7.08</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31021</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文物和陈列品购置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30304</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抚恤金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18.96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30224</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被装购置费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31022</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无形资产购置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30305</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生活补助</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30225</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专用燃料费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31099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其他资本性支出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30306</w:t>
            </w:r>
          </w:p>
        </w:tc>
        <w:tc>
          <w:tcPr>
            <w:tcW w:w="3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救济费</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30226</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劳务费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16.43</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399</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30307</w:t>
            </w:r>
          </w:p>
        </w:tc>
        <w:tc>
          <w:tcPr>
            <w:tcW w:w="34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医疗费补助</w:t>
            </w:r>
          </w:p>
        </w:tc>
        <w:tc>
          <w:tcPr>
            <w:tcW w:w="10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30227</w:t>
            </w:r>
          </w:p>
        </w:tc>
        <w:tc>
          <w:tcPr>
            <w:tcW w:w="17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委托业务费</w:t>
            </w:r>
          </w:p>
        </w:tc>
        <w:tc>
          <w:tcPr>
            <w:tcW w:w="9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7.50</w:t>
            </w:r>
          </w:p>
        </w:tc>
        <w:tc>
          <w:tcPr>
            <w:tcW w:w="16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39907</w:t>
            </w:r>
          </w:p>
        </w:tc>
        <w:tc>
          <w:tcPr>
            <w:tcW w:w="2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国家赔偿费用支出</w:t>
            </w:r>
          </w:p>
        </w:tc>
        <w:tc>
          <w:tcPr>
            <w:tcW w:w="87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30308</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助学金</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30228</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工会经费</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77.05</w:t>
            </w: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39908</w:t>
            </w:r>
          </w:p>
        </w:tc>
        <w:tc>
          <w:tcPr>
            <w:tcW w:w="2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对民间非营利组织和群众性自治组织补贴</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30309</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奖励金</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3.56</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30229</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福利费</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28.91</w:t>
            </w: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39909</w:t>
            </w:r>
          </w:p>
        </w:tc>
        <w:tc>
          <w:tcPr>
            <w:tcW w:w="2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经常性赠与</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30310</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个人农业生产补贴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0.00</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30231</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公务用车运行维护费</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11.64</w:t>
            </w: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39910</w:t>
            </w:r>
          </w:p>
        </w:tc>
        <w:tc>
          <w:tcPr>
            <w:tcW w:w="2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资本性赠与</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30311</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代缴社会保险费</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0.24</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30239</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其他交通费用</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7.21</w:t>
            </w: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39999</w:t>
            </w:r>
          </w:p>
        </w:tc>
        <w:tc>
          <w:tcPr>
            <w:tcW w:w="2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其他支出</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30399</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其他对个人和家庭的补助</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7.57</w:t>
            </w: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30240</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税金及附加费用</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0.93</w:t>
            </w: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2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30299</w:t>
            </w: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其他商品和服务支出</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2.12</w:t>
            </w: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2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14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16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27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45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人员经费合计</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2962.30</w:t>
            </w:r>
          </w:p>
        </w:tc>
        <w:tc>
          <w:tcPr>
            <w:tcW w:w="854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公用经费合计</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286.96</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pPr>
        <w:widowControl/>
        <w:tabs>
          <w:tab w:val="left" w:pos="920"/>
          <w:tab w:val="left" w:pos="1157"/>
          <w:tab w:val="left" w:pos="2434"/>
          <w:tab w:val="left" w:pos="4352"/>
          <w:tab w:val="left" w:pos="6295"/>
          <w:tab w:val="left" w:pos="8214"/>
          <w:tab w:val="left" w:pos="10149"/>
          <w:tab w:val="left" w:pos="12067"/>
        </w:tabs>
        <w:jc w:val="both"/>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14326" w:type="dxa"/>
        <w:jc w:val="center"/>
        <w:tblLayout w:type="fixed"/>
        <w:tblCellMar>
          <w:top w:w="0" w:type="dxa"/>
          <w:left w:w="108" w:type="dxa"/>
          <w:bottom w:w="0" w:type="dxa"/>
          <w:right w:w="108" w:type="dxa"/>
        </w:tblCellMar>
      </w:tblPr>
      <w:tblGrid>
        <w:gridCol w:w="1497"/>
        <w:gridCol w:w="1838"/>
        <w:gridCol w:w="1357"/>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21"/>
                <w:rFonts w:hint="default" w:ascii="Times New Roman" w:hAnsi="Times New Roman" w:eastAsia="仿宋_GB2312" w:cs="Times New Roman"/>
                <w:b/>
                <w:bCs/>
                <w:lang w:bidi="ar"/>
              </w:rPr>
              <w:t xml:space="preserve">   </w:t>
            </w:r>
            <w:r>
              <w:rPr>
                <w:rStyle w:val="22"/>
                <w:rFonts w:hint="default" w:ascii="Times New Roman" w:hAnsi="Times New Roman" w:eastAsia="仿宋_GB2312" w:cs="Times New Roman"/>
                <w:b/>
                <w:bCs/>
                <w:lang w:bidi="ar"/>
              </w:rPr>
              <w:t>目</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tblPrEx>
          <w:tblCellMar>
            <w:top w:w="0" w:type="dxa"/>
            <w:left w:w="108" w:type="dxa"/>
            <w:bottom w:w="0" w:type="dxa"/>
            <w:right w:w="108" w:type="dxa"/>
          </w:tblCellMar>
        </w:tblPrEx>
        <w:trPr>
          <w:trHeight w:val="509" w:hRule="atLeast"/>
          <w:jc w:val="center"/>
        </w:trPr>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en-US" w:bidi="ar-SA"/>
              </w:rPr>
            </w:pPr>
            <w:r>
              <w:rPr>
                <w:rFonts w:hint="eastAsia" w:ascii="宋体" w:hAnsi="宋体" w:eastAsia="宋体" w:cs="宋体"/>
                <w:b/>
                <w:bCs/>
                <w:i w:val="0"/>
                <w:iCs w:val="0"/>
                <w:snapToGrid w:val="0"/>
                <w:color w:val="000000"/>
                <w:kern w:val="0"/>
                <w:sz w:val="22"/>
                <w:szCs w:val="22"/>
                <w:u w:val="none"/>
                <w:lang w:val="en-US" w:eastAsia="zh-CN" w:bidi="ar"/>
              </w:rPr>
              <w:t>2.00</w:t>
            </w:r>
          </w:p>
        </w:tc>
        <w:tc>
          <w:tcPr>
            <w:tcW w:w="1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en-US" w:bidi="ar-SA"/>
              </w:rPr>
            </w:pPr>
            <w:r>
              <w:rPr>
                <w:rFonts w:hint="eastAsia" w:ascii="宋体" w:hAnsi="宋体" w:eastAsia="宋体" w:cs="宋体"/>
                <w:b/>
                <w:bCs/>
                <w:i w:val="0"/>
                <w:iCs w:val="0"/>
                <w:snapToGrid w:val="0"/>
                <w:color w:val="000000"/>
                <w:kern w:val="0"/>
                <w:sz w:val="22"/>
                <w:szCs w:val="22"/>
                <w:u w:val="none"/>
                <w:lang w:val="en-US" w:eastAsia="zh-CN" w:bidi="ar"/>
              </w:rPr>
              <w:t>2.00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b/>
                <w:bCs/>
                <w:snapToGrid w:val="0"/>
                <w:color w:val="000000"/>
                <w:sz w:val="24"/>
                <w:szCs w:val="24"/>
                <w:lang w:val="en-US" w:eastAsia="en-US" w:bidi="ar-SA"/>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snapToGrid w:val="0"/>
                <w:color w:val="000000"/>
                <w:sz w:val="22"/>
                <w:szCs w:val="22"/>
                <w:u w:val="none"/>
                <w:lang w:val="en-US" w:eastAsia="en-US" w:bidi="ar-SA"/>
              </w:rPr>
            </w:pPr>
            <w:r>
              <w:rPr>
                <w:rFonts w:hint="eastAsia" w:ascii="宋体" w:hAnsi="宋体" w:eastAsia="宋体" w:cs="宋体"/>
                <w:b/>
                <w:bCs/>
                <w:i w:val="0"/>
                <w:iCs w:val="0"/>
                <w:snapToGrid w:val="0"/>
                <w:color w:val="000000"/>
                <w:kern w:val="0"/>
                <w:sz w:val="22"/>
                <w:szCs w:val="22"/>
                <w:u w:val="none"/>
                <w:lang w:val="en-US" w:eastAsia="zh-CN" w:bidi="ar"/>
              </w:rPr>
              <w:t>2.00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4"/>
                <w:szCs w:val="24"/>
              </w:rPr>
            </w:pPr>
            <w:r>
              <w:rPr>
                <w:rFonts w:hint="eastAsia" w:ascii="宋体" w:hAnsi="宋体" w:eastAsia="宋体" w:cs="宋体"/>
                <w:i w:val="0"/>
                <w:iCs w:val="0"/>
                <w:snapToGrid w:val="0"/>
                <w:color w:val="000000"/>
                <w:kern w:val="0"/>
                <w:sz w:val="22"/>
                <w:szCs w:val="22"/>
                <w:u w:val="none"/>
                <w:lang w:val="en-US" w:eastAsia="zh-CN" w:bidi="ar"/>
              </w:rPr>
              <w:t>2120803</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sz w:val="20"/>
                <w:szCs w:val="20"/>
              </w:rPr>
            </w:pPr>
            <w:r>
              <w:rPr>
                <w:rFonts w:hint="eastAsia" w:ascii="宋体" w:hAnsi="宋体" w:eastAsia="宋体" w:cs="宋体"/>
                <w:i w:val="0"/>
                <w:iCs w:val="0"/>
                <w:snapToGrid w:val="0"/>
                <w:color w:val="000000"/>
                <w:kern w:val="0"/>
                <w:sz w:val="22"/>
                <w:szCs w:val="22"/>
                <w:u w:val="none"/>
                <w:lang w:val="en-US" w:eastAsia="zh-CN" w:bidi="ar"/>
              </w:rPr>
              <w:t>城市建设支出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2.00</w:t>
            </w:r>
          </w:p>
        </w:tc>
        <w:tc>
          <w:tcPr>
            <w:tcW w:w="1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pStyle w:val="2"/>
        <w:rPr>
          <w:rFonts w:ascii="Times New Roman" w:hAnsi="Times New Roman" w:eastAsia="黑体" w:cs="Times New Roman"/>
          <w:color w:val="000000"/>
          <w:kern w:val="0"/>
          <w:sz w:val="36"/>
          <w:szCs w:val="36"/>
          <w:lang w:bidi="ar"/>
        </w:rPr>
      </w:pPr>
    </w:p>
    <w:p>
      <w:pPr>
        <w:pStyle w:val="3"/>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11"/>
        <w:tblW w:w="4998" w:type="pct"/>
        <w:tblInd w:w="0" w:type="dxa"/>
        <w:tblLayout w:type="autofit"/>
        <w:tblCellMar>
          <w:top w:w="0" w:type="dxa"/>
          <w:left w:w="108" w:type="dxa"/>
          <w:bottom w:w="0" w:type="dxa"/>
          <w:right w:w="108" w:type="dxa"/>
        </w:tblCellMar>
      </w:tblPr>
      <w:tblGrid>
        <w:gridCol w:w="3216"/>
        <w:gridCol w:w="3220"/>
        <w:gridCol w:w="1904"/>
        <w:gridCol w:w="3220"/>
        <w:gridCol w:w="3220"/>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23"/>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lang w:bidi="ar"/>
        </w:rPr>
      </w:pPr>
    </w:p>
    <w:p>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9"/>
        <w:spacing w:line="400" w:lineRule="exact"/>
        <w:rPr>
          <w:rFonts w:ascii="Times New Roman" w:hAnsi="Times New Roman" w:eastAsia="华文中宋" w:cs="Times New Roman"/>
          <w:color w:val="000000"/>
          <w:kern w:val="0"/>
          <w:sz w:val="32"/>
          <w:szCs w:val="32"/>
          <w:lang w:bidi="ar"/>
        </w:rPr>
      </w:pPr>
    </w:p>
    <w:p>
      <w:pPr>
        <w:pStyle w:val="6"/>
      </w:pPr>
    </w:p>
    <w:p>
      <w:pPr>
        <w:widowControl/>
        <w:spacing w:after="156" w:afterLines="50"/>
        <w:jc w:val="center"/>
        <w:textAlignment w:val="center"/>
        <w:rPr>
          <w:rFonts w:ascii="Times New Roman" w:hAnsi="Times New Roman" w:eastAsia="黑体" w:cs="Times New Roman"/>
          <w:color w:val="000000"/>
          <w:kern w:val="0"/>
          <w:sz w:val="36"/>
          <w:szCs w:val="36"/>
          <w:lang w:bidi="ar"/>
        </w:rPr>
      </w:pPr>
    </w:p>
    <w:p>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kern w:val="0"/>
          <w:sz w:val="20"/>
          <w:szCs w:val="20"/>
          <w:lang w:bidi="ar"/>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hint="eastAsia" w:ascii="Times New Roman" w:hAnsi="Times New Roman" w:eastAsia="楷体_GB2312" w:cs="Times New Roman"/>
          <w:color w:val="000000"/>
          <w:sz w:val="20"/>
          <w:szCs w:val="20"/>
          <w:lang w:eastAsia="zh-CN"/>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eastAsia="zh-CN" w:bidi="ar"/>
        </w:rPr>
        <w:t>祁阳市融媒体中心</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hint="eastAsia" w:ascii="Times New Roman" w:hAnsi="Times New Roman" w:eastAsia="仿宋_GB2312" w:cs="Times New Roman"/>
          <w:color w:val="000000"/>
          <w:sz w:val="24"/>
          <w:szCs w:val="24"/>
          <w:lang w:val="en-US" w:eastAsia="zh-CN"/>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kern w:val="0"/>
          <w:sz w:val="20"/>
          <w:szCs w:val="20"/>
          <w:lang w:bidi="ar"/>
        </w:rPr>
        <w:t>单位：万元</w:t>
      </w:r>
    </w:p>
    <w:tbl>
      <w:tblPr>
        <w:tblStyle w:val="11"/>
        <w:tblW w:w="5113" w:type="pct"/>
        <w:jc w:val="center"/>
        <w:tblLayout w:type="autofit"/>
        <w:tblCellMar>
          <w:top w:w="0" w:type="dxa"/>
          <w:left w:w="108" w:type="dxa"/>
          <w:bottom w:w="0" w:type="dxa"/>
          <w:right w:w="108" w:type="dxa"/>
        </w:tblCellMar>
      </w:tblPr>
      <w:tblGrid>
        <w:gridCol w:w="970"/>
        <w:gridCol w:w="1275"/>
        <w:gridCol w:w="1128"/>
        <w:gridCol w:w="1234"/>
        <w:gridCol w:w="1482"/>
        <w:gridCol w:w="1433"/>
        <w:gridCol w:w="1092"/>
        <w:gridCol w:w="1213"/>
        <w:gridCol w:w="1213"/>
        <w:gridCol w:w="1213"/>
        <w:gridCol w:w="1412"/>
        <w:gridCol w:w="1455"/>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_GB2312" w:cs="Times New Roman"/>
                <w:b/>
                <w:bCs/>
                <w:color w:val="000000"/>
                <w:kern w:val="0"/>
                <w:sz w:val="22"/>
                <w:lang w:eastAsia="zh-CN" w:bidi="ar"/>
              </w:rPr>
            </w:pPr>
            <w:r>
              <w:rPr>
                <w:rFonts w:ascii="Times New Roman" w:hAnsi="Times New Roman" w:eastAsia="仿宋_GB2312" w:cs="Times New Roman"/>
                <w:b/>
                <w:bCs/>
                <w:color w:val="000000"/>
                <w:kern w:val="0"/>
                <w:sz w:val="22"/>
                <w:lang w:bidi="ar"/>
              </w:rPr>
              <w:t>公务用车</w:t>
            </w:r>
          </w:p>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lang w:bidi="ar"/>
              </w:rPr>
              <w:t>12</w:t>
            </w:r>
          </w:p>
        </w:tc>
      </w:tr>
      <w:tr>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13.67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11.64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11.64</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13.67</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11.64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11.64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000000"/>
                <w:sz w:val="22"/>
              </w:rPr>
            </w:pPr>
            <w:r>
              <w:rPr>
                <w:rFonts w:hint="eastAsia" w:ascii="宋体" w:hAnsi="宋体" w:eastAsia="宋体" w:cs="宋体"/>
                <w:i w:val="0"/>
                <w:iCs w:val="0"/>
                <w:snapToGrid w:val="0"/>
                <w:color w:val="000000"/>
                <w:kern w:val="0"/>
                <w:sz w:val="22"/>
                <w:szCs w:val="22"/>
                <w:u w:val="none"/>
                <w:lang w:val="en-US" w:eastAsia="zh-CN" w:bidi="ar"/>
              </w:rPr>
              <w:t>2.03</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567" w:right="1134" w:bottom="567" w:left="1134" w:header="851" w:footer="992" w:gutter="0"/>
          <w:paperSrc/>
          <w:cols w:space="0" w:num="1"/>
          <w:rtlGutter w:val="0"/>
          <w:docGrid w:type="lines" w:linePitch="312" w:charSpace="0"/>
        </w:sectPr>
      </w:pPr>
      <w:r>
        <w:rPr>
          <w:rFonts w:ascii="Times New Roman" w:hAnsi="Times New Roman" w:eastAsia="黑体" w:cs="Times New Roman"/>
          <w:szCs w:val="21"/>
        </w:rPr>
        <w:br w:type="page"/>
      </w: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9"/>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eastAsia="zh-CN"/>
        </w:rPr>
        <w:t>3746.62</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增加</w:t>
      </w:r>
      <w:r>
        <w:rPr>
          <w:rFonts w:hint="eastAsia" w:ascii="Times New Roman" w:hAnsi="Times New Roman" w:eastAsia="仿宋_GB2312" w:cs="Times New Roman"/>
          <w:sz w:val="32"/>
          <w:szCs w:val="32"/>
          <w:lang w:eastAsia="zh-CN"/>
        </w:rPr>
        <w:t>102.42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原因为本年度项目增加，收入、支出增加。</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eastAsia="zh-CN"/>
        </w:rPr>
        <w:t>3746.62</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3672.76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98.03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政府性基金预算财政拨款收入</w:t>
      </w:r>
      <w:r>
        <w:rPr>
          <w:rFonts w:hint="eastAsia" w:ascii="Times New Roman" w:hAnsi="Times New Roman" w:eastAsia="仿宋_GB2312" w:cs="Times New Roman"/>
          <w:sz w:val="32"/>
          <w:szCs w:val="32"/>
          <w:lang w:val="en-US" w:eastAsia="zh-CN"/>
        </w:rPr>
        <w:t>2.00万元，占0.05%；</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71.86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1.92</w:t>
      </w:r>
      <w:r>
        <w:rPr>
          <w:rFonts w:ascii="Times New Roman" w:hAnsi="Times New Roman" w:eastAsia="仿宋_GB2312" w:cs="Times New Roman"/>
          <w:sz w:val="32"/>
          <w:szCs w:val="32"/>
        </w:rPr>
        <w:t>%。</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eastAsia="zh-CN"/>
        </w:rPr>
        <w:t>3746.62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3271.77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87.33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474.86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12.67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3674.76</w:t>
      </w:r>
      <w:r>
        <w:rPr>
          <w:rFonts w:ascii="Times New Roman" w:hAnsi="Times New Roman" w:eastAsia="仿宋_GB2312" w:cs="Times New Roman"/>
          <w:sz w:val="32"/>
          <w:szCs w:val="32"/>
        </w:rPr>
        <w:t>元，与上年相比，</w:t>
      </w:r>
      <w:r>
        <w:rPr>
          <w:rFonts w:hint="eastAsia" w:ascii="Times New Roman" w:hAnsi="Times New Roman" w:eastAsia="仿宋_GB2312" w:cs="Times New Roman"/>
          <w:sz w:val="32"/>
          <w:szCs w:val="32"/>
          <w:lang w:val="en-US" w:eastAsia="zh-CN"/>
        </w:rPr>
        <w:t>增加30.56</w:t>
      </w:r>
      <w:r>
        <w:rPr>
          <w:rFonts w:ascii="Times New Roman" w:hAnsi="Times New Roman" w:eastAsia="仿宋_GB2312" w:cs="Times New Roman"/>
          <w:sz w:val="32"/>
          <w:szCs w:val="32"/>
        </w:rPr>
        <w:t>万元,主要是因为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val="en-US" w:eastAsia="zh-CN"/>
        </w:rPr>
        <w:t>本年度项目增加，收入、支出增加。</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9"/>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3672.76</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98.03</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lang w:val="en-US" w:eastAsia="zh-CN"/>
        </w:rPr>
        <w:t>增加28.56</w:t>
      </w:r>
      <w:r>
        <w:rPr>
          <w:rFonts w:ascii="Times New Roman" w:hAnsi="Times New Roman" w:eastAsia="仿宋_GB2312" w:cs="Times New Roman"/>
          <w:sz w:val="32"/>
          <w:szCs w:val="32"/>
        </w:rPr>
        <w:t>万元</w:t>
      </w:r>
      <w:r>
        <w:rPr>
          <w:rFonts w:ascii="Times New Roman" w:hAnsi="Times New Roman" w:eastAsia="仿宋_GB2312" w:cs="Times New Roman"/>
          <w:sz w:val="32"/>
          <w:szCs w:val="32"/>
          <w:highlight w:val="none"/>
        </w:rPr>
        <w:t>，主要是因为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本年度项目增加，支出增加。</w:t>
      </w:r>
    </w:p>
    <w:p>
      <w:pPr>
        <w:pStyle w:val="19"/>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9"/>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3672.76</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一般公共服务</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250.16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highlight w:val="none"/>
          <w:lang w:val="en-US" w:eastAsia="zh-CN"/>
        </w:rPr>
        <w:t>6.81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文化旅游体育与传媒支出2726.86万元，占74.25%；</w:t>
      </w:r>
      <w:r>
        <w:rPr>
          <w:rFonts w:hint="eastAsia" w:ascii="Times New Roman" w:hAnsi="Times New Roman" w:eastAsia="仿宋_GB2312" w:cs="Times New Roman"/>
          <w:sz w:val="32"/>
          <w:szCs w:val="32"/>
        </w:rPr>
        <w:t>社会保障和就业支出349.58</w:t>
      </w:r>
      <w:r>
        <w:rPr>
          <w:rFonts w:hint="eastAsia" w:ascii="Times New Roman" w:hAnsi="Times New Roman" w:eastAsia="仿宋_GB2312" w:cs="Times New Roman"/>
          <w:sz w:val="32"/>
          <w:szCs w:val="32"/>
          <w:lang w:val="en-US" w:eastAsia="zh-CN"/>
        </w:rPr>
        <w:t>万元，占9.52%；卫生健康支出123.81万元，占3.37%；住房保障支出222.35万元，占6.05%。</w:t>
      </w:r>
    </w:p>
    <w:p>
      <w:pPr>
        <w:pStyle w:val="19"/>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3311.93</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3672.76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110.89</w:t>
      </w:r>
      <w:r>
        <w:rPr>
          <w:rFonts w:ascii="Times New Roman" w:hAnsi="Times New Roman" w:eastAsia="仿宋_GB2312" w:cs="Times New Roman"/>
          <w:sz w:val="32"/>
          <w:szCs w:val="32"/>
        </w:rPr>
        <w:t>%，其中：</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w:t>
      </w:r>
      <w:r>
        <w:rPr>
          <w:rFonts w:hint="eastAsia" w:ascii="Times New Roman" w:hAnsi="Times New Roman" w:eastAsia="仿宋_GB2312"/>
          <w:sz w:val="32"/>
          <w:szCs w:val="32"/>
          <w:highlight w:val="none"/>
        </w:rPr>
        <w:t>一般公共服务</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人大事务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行政运行</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248.56</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因分</w:t>
      </w:r>
      <w:r>
        <w:rPr>
          <w:rFonts w:hint="eastAsia" w:ascii="Times New Roman" w:hAnsi="Times New Roman" w:eastAsia="仿宋_GB2312" w:cs="Times New Roman"/>
          <w:sz w:val="32"/>
          <w:szCs w:val="32"/>
        </w:rPr>
        <w:t>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年中追加公用经费指标，决算数大于预算数。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sz w:val="32"/>
          <w:szCs w:val="32"/>
          <w:highlight w:val="none"/>
        </w:rPr>
        <w:t>一般公共服务</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组织事务</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rPr>
        <w:t>一般行政管理事务</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color w:val="auto"/>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highlight w:val="none"/>
        </w:rPr>
        <w:t>因分</w:t>
      </w:r>
      <w:r>
        <w:rPr>
          <w:rFonts w:hint="eastAsia" w:ascii="Times New Roman" w:hAnsi="Times New Roman" w:eastAsia="仿宋_GB2312" w:cs="Times New Roman"/>
          <w:sz w:val="32"/>
          <w:szCs w:val="32"/>
        </w:rPr>
        <w:t>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yellow"/>
        </w:rPr>
      </w:pPr>
      <w:r>
        <w:rPr>
          <w:rFonts w:hint="eastAsia" w:ascii="Times New Roman" w:hAnsi="Times New Roman" w:cs="Times New Roman"/>
          <w:bCs/>
          <w:sz w:val="32"/>
          <w:szCs w:val="32"/>
          <w:highlight w:val="none"/>
          <w:lang w:val="en-US" w:eastAsia="zh-CN"/>
        </w:rPr>
        <w:t>3、</w:t>
      </w:r>
      <w:r>
        <w:rPr>
          <w:rFonts w:hint="eastAsia" w:ascii="Times New Roman" w:hAnsi="Times New Roman" w:eastAsia="仿宋_GB2312"/>
          <w:sz w:val="32"/>
          <w:szCs w:val="32"/>
          <w:highlight w:val="none"/>
        </w:rPr>
        <w:t>文化旅游体育与传媒支出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文化和旅游</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一般行政管理事务</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0.00</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34.25</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因分</w:t>
      </w:r>
      <w:r>
        <w:rPr>
          <w:rFonts w:hint="eastAsia" w:ascii="Times New Roman" w:hAnsi="Times New Roman" w:eastAsia="仿宋_GB2312" w:cs="Times New Roman"/>
          <w:sz w:val="32"/>
          <w:szCs w:val="32"/>
        </w:rPr>
        <w:t>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4、</w:t>
      </w:r>
      <w:r>
        <w:rPr>
          <w:rFonts w:hint="eastAsia" w:ascii="Times New Roman" w:hAnsi="Times New Roman" w:eastAsia="仿宋_GB2312"/>
          <w:sz w:val="32"/>
          <w:szCs w:val="32"/>
          <w:highlight w:val="none"/>
        </w:rPr>
        <w:t>文化旅游体育与传媒支出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文物</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一般行政管理事务</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元，支出决算为</w:t>
      </w:r>
      <w:r>
        <w:rPr>
          <w:rFonts w:hint="eastAsia" w:ascii="Times New Roman" w:hAnsi="Times New Roman" w:eastAsia="仿宋_GB2312" w:cs="Times New Roman"/>
          <w:sz w:val="32"/>
          <w:szCs w:val="32"/>
          <w:highlight w:val="none"/>
          <w:lang w:val="en-US" w:eastAsia="zh-CN"/>
        </w:rPr>
        <w:t>43.10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因分母为0，无法计算百分比</w:t>
      </w:r>
      <w:r>
        <w:rPr>
          <w:rFonts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cs="Times New Roman"/>
          <w:sz w:val="32"/>
          <w:szCs w:val="32"/>
          <w:highlight w:val="none"/>
          <w:lang w:val="en-US" w:eastAsia="zh-CN"/>
        </w:rPr>
        <w:t>年中追加项目指标，决算数大于预算数。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5、</w:t>
      </w:r>
      <w:r>
        <w:rPr>
          <w:rFonts w:hint="eastAsia" w:ascii="Times New Roman" w:hAnsi="Times New Roman" w:eastAsia="仿宋_GB2312"/>
          <w:sz w:val="32"/>
          <w:szCs w:val="32"/>
          <w:highlight w:val="none"/>
        </w:rPr>
        <w:t>文化旅游体育与传媒支出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广播电视</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行政运行</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1884.29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2320.01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123.12%</w:t>
      </w:r>
      <w:r>
        <w:rPr>
          <w:rFonts w:ascii="Times New Roman" w:hAnsi="Times New Roman" w:eastAsia="仿宋_GB2312" w:cs="Times New Roman"/>
          <w:sz w:val="32"/>
          <w:szCs w:val="32"/>
          <w:highlight w:val="none"/>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yellow"/>
        </w:rPr>
      </w:pPr>
      <w:r>
        <w:rPr>
          <w:rFonts w:hint="eastAsia" w:ascii="Times New Roman" w:hAnsi="Times New Roman" w:cs="Times New Roman"/>
          <w:bCs/>
          <w:sz w:val="32"/>
          <w:szCs w:val="32"/>
          <w:lang w:val="en-US" w:eastAsia="zh-CN"/>
        </w:rPr>
        <w:t>6、</w:t>
      </w:r>
      <w:r>
        <w:rPr>
          <w:rFonts w:hint="eastAsia" w:ascii="Times New Roman" w:hAnsi="Times New Roman" w:eastAsia="仿宋_GB2312"/>
          <w:sz w:val="32"/>
          <w:szCs w:val="32"/>
          <w:highlight w:val="none"/>
        </w:rPr>
        <w:t>文化旅游体育与传媒支出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广播电视</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一般行政管理事务</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784.8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75.3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9.59</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小</w:t>
      </w:r>
      <w:r>
        <w:rPr>
          <w:rFonts w:ascii="Times New Roman" w:hAnsi="Times New Roman" w:eastAsia="仿宋_GB2312" w:cs="Times New Roman"/>
          <w:sz w:val="32"/>
          <w:szCs w:val="32"/>
          <w:highlight w:val="none"/>
        </w:rPr>
        <w:t>于年初预算数的主要原因是：</w:t>
      </w:r>
      <w:r>
        <w:rPr>
          <w:rFonts w:hint="eastAsia" w:ascii="Times New Roman" w:hAnsi="Times New Roman" w:eastAsia="仿宋_GB2312" w:cs="Times New Roman"/>
          <w:sz w:val="32"/>
          <w:szCs w:val="32"/>
          <w:highlight w:val="none"/>
          <w:lang w:val="en-US" w:eastAsia="zh-CN"/>
        </w:rPr>
        <w:t>年中调减人员经费指标和项目经费指标，决算数小于预算数。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lang w:val="en-US" w:eastAsia="zh-CN"/>
        </w:rPr>
        <w:t>7、</w:t>
      </w:r>
      <w:r>
        <w:rPr>
          <w:rFonts w:hint="eastAsia" w:ascii="Times New Roman" w:hAnsi="Times New Roman" w:eastAsia="仿宋_GB2312"/>
          <w:sz w:val="32"/>
          <w:szCs w:val="32"/>
          <w:highlight w:val="none"/>
        </w:rPr>
        <w:t>文化旅游体育与传媒支出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广播电视</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广播电视事务</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135.60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sz w:val="32"/>
          <w:szCs w:val="32"/>
          <w:highlight w:val="none"/>
        </w:rPr>
        <w:t>文化旅游体育与传媒支出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其他文化旅游体育与传媒支出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其他文化旅游体育与传媒支出</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118.6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年中追加项目经费指标，决算数大于预算数。</w:t>
      </w:r>
    </w:p>
    <w:p>
      <w:pPr>
        <w:pStyle w:val="19"/>
        <w:keepNext w:val="0"/>
        <w:keepLines w:val="0"/>
        <w:pageBreakBefore w:val="0"/>
        <w:widowControl w:val="0"/>
        <w:numPr>
          <w:ilvl w:val="0"/>
          <w:numId w:val="1"/>
        </w:numPr>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行政事业单位养老支出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机关事业单位基本养老保险缴费支出</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296.68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296.68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r>
        <w:rPr>
          <w:rFonts w:hint="eastAsia" w:ascii="Times New Roman" w:hAnsi="Times New Roman" w:eastAsia="仿宋_GB2312" w:cs="Times New Roman"/>
          <w:sz w:val="32"/>
          <w:szCs w:val="32"/>
          <w:highlight w:val="none"/>
          <w:lang w:val="en-US" w:eastAsia="zh-CN"/>
        </w:rPr>
        <w:t>。</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10、社会保障和就业支出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行政事业单位养老支出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对机关事业单位基本养老保险基金的补助</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5.79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cs="Times New Roman"/>
          <w:bCs/>
          <w:sz w:val="32"/>
          <w:szCs w:val="32"/>
          <w:highlight w:val="none"/>
          <w:lang w:val="en-US" w:eastAsia="zh-CN"/>
        </w:rPr>
        <w:t>11、</w:t>
      </w:r>
      <w:r>
        <w:rPr>
          <w:rFonts w:hint="eastAsia" w:ascii="Times New Roman" w:hAnsi="Times New Roman" w:eastAsia="仿宋_GB2312" w:cs="Times New Roman"/>
          <w:sz w:val="32"/>
          <w:szCs w:val="32"/>
          <w:highlight w:val="none"/>
          <w:lang w:val="en-US" w:eastAsia="zh-CN"/>
        </w:rPr>
        <w:t>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抚恤</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机关事业单位死亡抚恤</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12、社会保障和就业支出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财政对其他社会保险基金的补助</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财政对失业保险基金的补助</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10.83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13、社会保障和就业支出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财政对其他社会保险基金的补助</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 xml:space="preserve">  财政对工伤保险基金的补助</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13.93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14、社会保障和就业支出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财政对其他社会保险基金的补助</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其他财政对社会保险基金的补助</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13.09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pPr>
        <w:pStyle w:val="19"/>
        <w:keepNext w:val="0"/>
        <w:keepLines w:val="0"/>
        <w:pageBreakBefore w:val="0"/>
        <w:widowControl w:val="0"/>
        <w:numPr>
          <w:ilvl w:val="0"/>
          <w:numId w:val="2"/>
        </w:numPr>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社会保障和就业支出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其他社会保障和就业支出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其他社会保障和就业支出</w:t>
      </w:r>
      <w:r>
        <w:rPr>
          <w:rFonts w:ascii="Times New Roman" w:hAnsi="Times New Roman" w:eastAsia="仿宋_GB2312" w:cs="Times New Roman"/>
          <w:sz w:val="32"/>
          <w:szCs w:val="32"/>
          <w:highlight w:val="none"/>
        </w:rPr>
        <w:t>（项）。</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0.00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6.20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年中追加人员经费指标，决算数大于预算数。</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16、卫生健康支出（类）行政事业单位医疗（款）事业单位医疗（项）。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123.81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123.81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r>
        <w:rPr>
          <w:rFonts w:hint="eastAsia" w:ascii="Times New Roman" w:hAnsi="Times New Roman" w:eastAsia="仿宋_GB2312" w:cs="Times New Roman"/>
          <w:sz w:val="32"/>
          <w:szCs w:val="32"/>
          <w:lang w:eastAsia="zh-CN"/>
        </w:rPr>
        <w:t>。</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17、住房保障支出</w:t>
      </w:r>
      <w:r>
        <w:rPr>
          <w:rFonts w:ascii="Times New Roman" w:hAnsi="Times New Roman" w:eastAsia="仿宋_GB2312" w:cs="Times New Roman"/>
          <w:sz w:val="32"/>
          <w:szCs w:val="32"/>
          <w:highlight w:val="none"/>
        </w:rPr>
        <w:t>（类）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住房改革支出</w:t>
      </w:r>
      <w:r>
        <w:rPr>
          <w:rFonts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val="en-US" w:eastAsia="zh-CN"/>
        </w:rPr>
        <w:t>住房公积金</w:t>
      </w:r>
      <w:r>
        <w:rPr>
          <w:rFonts w:ascii="Times New Roman" w:hAnsi="Times New Roman" w:eastAsia="仿宋_GB2312" w:cs="Times New Roman"/>
          <w:sz w:val="32"/>
          <w:szCs w:val="32"/>
          <w:highlight w:val="none"/>
        </w:rPr>
        <w:t>（项）。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222.35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222.35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100.00</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持平</w:t>
      </w:r>
      <w:r>
        <w:rPr>
          <w:rFonts w:hint="eastAsia" w:ascii="Times New Roman" w:hAnsi="Times New Roman" w:eastAsia="仿宋_GB2312" w:cs="Times New Roman"/>
          <w:sz w:val="32"/>
          <w:szCs w:val="32"/>
          <w:lang w:eastAsia="zh-CN"/>
        </w:rPr>
        <w:t>。</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3249.26</w:t>
      </w:r>
      <w:r>
        <w:rPr>
          <w:rFonts w:ascii="Times New Roman" w:hAnsi="Times New Roman" w:eastAsia="仿宋_GB2312" w:cs="Times New Roman"/>
          <w:sz w:val="32"/>
          <w:szCs w:val="32"/>
        </w:rPr>
        <w:t>万元，其中：</w:t>
      </w:r>
    </w:p>
    <w:p>
      <w:pPr>
        <w:pStyle w:val="19"/>
        <w:overflowPunct w:val="0"/>
        <w:autoSpaceDE/>
        <w:autoSpaceDN/>
        <w:spacing w:line="600" w:lineRule="exact"/>
        <w:ind w:firstLine="643"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b/>
          <w:bCs/>
          <w:sz w:val="32"/>
          <w:szCs w:val="32"/>
          <w:lang w:val="en-US" w:eastAsia="zh-CN"/>
        </w:rPr>
        <w:t>2962.3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91.17</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基本工资、津贴补贴、奖金、绩效工资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机关事业单位基本养老保险缴费、职工基本医疗保险缴费、其他社会保障缴费、住房公积金、其他工资福利支出、抚恤金、生活补助</w:t>
      </w:r>
      <w:r>
        <w:rPr>
          <w:rFonts w:hint="eastAsia" w:ascii="Times New Roman" w:hAnsi="Times New Roman" w:eastAsia="仿宋_GB2312" w:cs="Times New Roman"/>
          <w:sz w:val="32"/>
          <w:szCs w:val="32"/>
          <w:lang w:eastAsia="zh-CN"/>
        </w:rPr>
        <w:t>、代缴社会保险费、</w:t>
      </w:r>
      <w:r>
        <w:rPr>
          <w:rFonts w:hint="eastAsia" w:ascii="Times New Roman" w:hAnsi="Times New Roman" w:eastAsia="仿宋_GB2312" w:cs="Times New Roman"/>
          <w:sz w:val="32"/>
          <w:szCs w:val="32"/>
        </w:rPr>
        <w:t>其他对个人和家庭的补助</w:t>
      </w:r>
      <w:r>
        <w:rPr>
          <w:rFonts w:hint="eastAsia" w:ascii="Times New Roman" w:hAnsi="Times New Roman" w:eastAsia="仿宋_GB2312" w:cs="Times New Roman"/>
          <w:sz w:val="32"/>
          <w:szCs w:val="32"/>
          <w:lang w:val="en-US" w:eastAsia="zh-CN"/>
        </w:rPr>
        <w:t>。</w:t>
      </w:r>
    </w:p>
    <w:p>
      <w:pPr>
        <w:pStyle w:val="19"/>
        <w:overflowPunct w:val="0"/>
        <w:autoSpaceDE/>
        <w:autoSpaceDN/>
        <w:spacing w:line="600" w:lineRule="exact"/>
        <w:ind w:firstLine="643"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b/>
          <w:bCs/>
          <w:sz w:val="32"/>
          <w:szCs w:val="32"/>
          <w:lang w:val="en-US" w:eastAsia="zh-CN"/>
        </w:rPr>
        <w:t>286.96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8.83</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办公费、印刷费</w:t>
      </w:r>
      <w:r>
        <w:rPr>
          <w:rFonts w:hint="eastAsia" w:ascii="Times New Roman" w:hAnsi="Times New Roman" w:eastAsia="仿宋_GB2312" w:cs="Times New Roman"/>
          <w:sz w:val="32"/>
          <w:szCs w:val="32"/>
          <w:lang w:eastAsia="zh-CN"/>
        </w:rPr>
        <w:t>、手续费、</w:t>
      </w:r>
      <w:r>
        <w:rPr>
          <w:rFonts w:hint="eastAsia" w:ascii="Times New Roman" w:hAnsi="Times New Roman" w:eastAsia="仿宋_GB2312" w:cs="Times New Roman"/>
          <w:sz w:val="32"/>
          <w:szCs w:val="32"/>
          <w:lang w:val="en-US" w:eastAsia="zh-CN"/>
        </w:rPr>
        <w:t>水电</w:t>
      </w:r>
      <w:r>
        <w:rPr>
          <w:rFonts w:hint="eastAsia" w:ascii="Times New Roman" w:hAnsi="Times New Roman" w:eastAsia="仿宋_GB2312" w:cs="Times New Roman"/>
          <w:sz w:val="32"/>
          <w:szCs w:val="32"/>
        </w:rPr>
        <w:t>费、差旅费、维修（护）费</w:t>
      </w:r>
      <w:r>
        <w:rPr>
          <w:rFonts w:hint="eastAsia" w:ascii="Times New Roman" w:hAnsi="Times New Roman" w:eastAsia="仿宋_GB2312" w:cs="Times New Roman"/>
          <w:sz w:val="32"/>
          <w:szCs w:val="32"/>
          <w:lang w:eastAsia="zh-CN"/>
        </w:rPr>
        <w:t>、租赁费、</w:t>
      </w:r>
      <w:r>
        <w:rPr>
          <w:rFonts w:hint="eastAsia" w:ascii="Times New Roman" w:hAnsi="Times New Roman" w:eastAsia="仿宋_GB2312" w:cs="Times New Roman"/>
          <w:sz w:val="32"/>
          <w:szCs w:val="32"/>
        </w:rPr>
        <w:t>会议费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培训费、公务接待费</w:t>
      </w:r>
      <w:r>
        <w:rPr>
          <w:rFonts w:hint="eastAsia" w:ascii="Times New Roman" w:hAnsi="Times New Roman" w:eastAsia="仿宋_GB2312" w:cs="Times New Roman"/>
          <w:sz w:val="32"/>
          <w:szCs w:val="32"/>
          <w:lang w:eastAsia="zh-CN"/>
        </w:rPr>
        <w:t>、专用材料费、劳务费、委托业务费、</w:t>
      </w:r>
      <w:r>
        <w:rPr>
          <w:rFonts w:hint="eastAsia" w:ascii="Times New Roman" w:hAnsi="Times New Roman" w:eastAsia="仿宋_GB2312" w:cs="Times New Roman"/>
          <w:sz w:val="32"/>
          <w:szCs w:val="32"/>
        </w:rPr>
        <w:t>工会经费、福利费、公务用车运行维护费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eastAsia="zh-CN"/>
        </w:rPr>
        <w:t>、税金及附加费用、其他商品和服务支出、办公设备购置。</w:t>
      </w:r>
    </w:p>
    <w:p>
      <w:pPr>
        <w:pStyle w:val="19"/>
        <w:numPr>
          <w:ilvl w:val="0"/>
          <w:numId w:val="3"/>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pPr>
        <w:pStyle w:val="19"/>
        <w:numPr>
          <w:ilvl w:val="0"/>
          <w:numId w:val="0"/>
        </w:numPr>
        <w:overflowPunct w:val="0"/>
        <w:autoSpaceDE/>
        <w:autoSpaceDN/>
        <w:spacing w:line="600" w:lineRule="exact"/>
        <w:ind w:firstLine="321" w:firstLineChars="1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2024年度“三公”经费财政拨款支出预算为8.44万元，支出决算为13.67万元，决算数占年初预算的161.97%；与上年相比减少12.77万元，下降48.30%。决算数相比预算数增加的主要原因是本年度</w:t>
      </w:r>
      <w:r>
        <w:rPr>
          <w:rFonts w:hint="eastAsia" w:ascii="Times New Roman" w:hAnsi="Times New Roman" w:eastAsia="仿宋_GB2312" w:cs="Times New Roman"/>
          <w:sz w:val="32"/>
          <w:szCs w:val="32"/>
          <w:highlight w:val="none"/>
          <w:lang w:val="en-US" w:eastAsia="zh-CN"/>
        </w:rPr>
        <w:t>公务用车运行维护费增加</w:t>
      </w:r>
      <w:r>
        <w:rPr>
          <w:rFonts w:hint="eastAsia" w:ascii="Times New Roman" w:hAnsi="Times New Roman" w:eastAsia="仿宋_GB2312" w:cs="Times New Roman"/>
          <w:sz w:val="32"/>
          <w:szCs w:val="32"/>
          <w:lang w:val="en-US" w:eastAsia="zh-CN"/>
        </w:rPr>
        <w:t>。决算数与上年数增加的主要原因是本年度</w:t>
      </w:r>
      <w:r>
        <w:rPr>
          <w:rFonts w:hint="eastAsia" w:ascii="Times New Roman" w:hAnsi="Times New Roman" w:eastAsia="仿宋_GB2312" w:cs="Times New Roman"/>
          <w:sz w:val="32"/>
          <w:szCs w:val="32"/>
          <w:highlight w:val="none"/>
          <w:lang w:val="en-US" w:eastAsia="zh-CN"/>
        </w:rPr>
        <w:t>公务用车运行维护费增加</w:t>
      </w:r>
      <w:r>
        <w:rPr>
          <w:rFonts w:hint="eastAsia" w:ascii="Times New Roman" w:hAnsi="Times New Roman" w:eastAsia="仿宋_GB2312" w:cs="Times New Roman"/>
          <w:sz w:val="32"/>
          <w:szCs w:val="32"/>
          <w:lang w:val="en-US" w:eastAsia="zh-CN"/>
        </w:rPr>
        <w:t>。</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（二）“三公”经费财政拨款支出决算具体情况说明</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因公出国（境）费支出预算为0.00万元，支出决算为0.00万元，预算数与决算数持平。决算数相比预算数无变化的主要原因是未发生因公出国（境）费支出。决算数与上年数无变化的主要原因是未发生因公出国（境）费支出。2024年度安排因公出国（境）团组0个，累计0人次。</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2.公务用车购置费及运行维护费支出预算为0.00万元，支出决算为0.00万元，预算数与决算数持平；与上年相比持平。其中：</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务用车购置费支出预算为0.00万元，支出决算为0.00万元，预算数与决算数持平；与上年相比持平。决算数相比预算数无变化的主要原因是未发生公务用车购置费支出。决算数与上年数无变化的主要原因是未发生公务用车购置费支出。祁阳市融媒体中心更新公务用车0辆。</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务用车运行维护费支出预算为5.00万元，支出决算为11.64万元，占预算数的232.80%；与上年相比增加0.28万元，增长2.49%。决算数相比预算数增加的主要原因是本年公工作量增大导致用车频率增加，公务运行维护费增加。决算数与上年数增加的主要原因是是本年公工作量增大导致用车频率增加，公务运行维护费增加。截止2024年12月31日，我单位开支财政拨款的公务用车保有量为</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sz w:val="32"/>
          <w:szCs w:val="32"/>
          <w:lang w:val="en-US" w:eastAsia="zh-CN"/>
        </w:rPr>
        <w:t>辆。</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公务接待费支出预算为3.44万元，支出决算为2.03万元，决算数占年初预算的59.01%；与上年相比减少1.75万元，下降46.29%。决算数相比预算数减少的主要原因是本年度国内公务接待批次、人数减少。决算数与上年数减少的主要原因是本年度国内公务接待批次、人数减少。</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2024年度共接待来访团组36个、来宾381人次。</w:t>
      </w:r>
    </w:p>
    <w:p>
      <w:pPr>
        <w:pStyle w:val="19"/>
        <w:numPr>
          <w:ilvl w:val="0"/>
          <w:numId w:val="3"/>
        </w:numPr>
        <w:overflowPunct w:val="0"/>
        <w:autoSpaceDE/>
        <w:autoSpaceDN/>
        <w:spacing w:line="600" w:lineRule="exact"/>
        <w:ind w:left="0" w:leftChars="0" w:firstLine="640" w:firstLineChars="200"/>
        <w:jc w:val="both"/>
        <w:rPr>
          <w:rFonts w:ascii="Times New Roman" w:hAnsi="Times New Roman" w:cs="Times New Roman"/>
          <w:bCs/>
          <w:sz w:val="32"/>
          <w:szCs w:val="32"/>
        </w:rPr>
      </w:pPr>
      <w:r>
        <w:rPr>
          <w:rFonts w:ascii="Times New Roman" w:hAnsi="Times New Roman" w:cs="Times New Roman"/>
          <w:bCs/>
          <w:sz w:val="32"/>
          <w:szCs w:val="32"/>
        </w:rPr>
        <w:t>政府性基金预算收入支出决算情况</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024年度政府性基金预算财政拨款收入2.00万元；支出2.00万元，其中基本支出0.00万元，项目支出2.00万元；年末结转和结余0.00万元。</w:t>
      </w:r>
    </w:p>
    <w:p>
      <w:pPr>
        <w:pStyle w:val="19"/>
        <w:keepNext w:val="0"/>
        <w:keepLines w:val="0"/>
        <w:pageBreakBefore w:val="0"/>
        <w:widowControl w:val="0"/>
        <w:numPr>
          <w:ilvl w:val="0"/>
          <w:numId w:val="0"/>
        </w:numPr>
        <w:kinsoku/>
        <w:wordWrap/>
        <w:overflowPunct w:val="0"/>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1、城乡社区支出（类）国有土地使用权出让收入安排的支出（款）城市建设支出（项）。</w:t>
      </w:r>
    </w:p>
    <w:p>
      <w:pPr>
        <w:pStyle w:val="19"/>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年初预算为0.00万元，支出决算为2.00万元，</w:t>
      </w:r>
      <w:r>
        <w:rPr>
          <w:rFonts w:hint="eastAsia" w:ascii="Times New Roman" w:hAnsi="Times New Roman" w:eastAsia="仿宋_GB2312" w:cs="Times New Roman"/>
          <w:sz w:val="32"/>
          <w:szCs w:val="32"/>
        </w:rPr>
        <w:t>因分母为0，无法计算百分比</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highlight w:val="none"/>
          <w:lang w:val="en-US" w:eastAsia="zh-CN"/>
        </w:rPr>
        <w:t>年中追加项目经费指标，决算数大于预算数。</w:t>
      </w:r>
    </w:p>
    <w:p>
      <w:pPr>
        <w:pStyle w:val="19"/>
        <w:numPr>
          <w:ilvl w:val="0"/>
          <w:numId w:val="4"/>
        </w:numPr>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国有资本经营预算</w:t>
      </w:r>
      <w:r>
        <w:rPr>
          <w:rFonts w:hint="eastAsia" w:ascii="Times New Roman" w:hAnsi="Times New Roman" w:cs="Times New Roman"/>
          <w:bCs/>
          <w:sz w:val="32"/>
          <w:szCs w:val="32"/>
          <w:highlight w:val="none"/>
          <w:lang w:val="en-US" w:eastAsia="zh-CN"/>
        </w:rPr>
        <w:t>收入</w:t>
      </w:r>
      <w:r>
        <w:rPr>
          <w:rFonts w:ascii="Times New Roman" w:hAnsi="Times New Roman" w:cs="Times New Roman"/>
          <w:bCs/>
          <w:sz w:val="32"/>
          <w:szCs w:val="32"/>
          <w:highlight w:val="none"/>
        </w:rPr>
        <w:t>支出决算情况</w:t>
      </w:r>
    </w:p>
    <w:p>
      <w:pPr>
        <w:pStyle w:val="19"/>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本单位本年度无国有资本经营预算</w:t>
      </w:r>
      <w:r>
        <w:rPr>
          <w:rFonts w:hint="eastAsia" w:ascii="Times New Roman" w:hAnsi="Times New Roman" w:eastAsia="仿宋_GB2312" w:cs="Times New Roman"/>
          <w:sz w:val="32"/>
          <w:szCs w:val="32"/>
          <w:lang w:val="en-US" w:eastAsia="zh-CN"/>
        </w:rPr>
        <w:t>收入</w:t>
      </w:r>
      <w:r>
        <w:rPr>
          <w:rFonts w:hint="default" w:ascii="Times New Roman" w:hAnsi="Times New Roman" w:eastAsia="仿宋_GB2312" w:cs="Times New Roman"/>
          <w:sz w:val="32"/>
          <w:szCs w:val="32"/>
          <w:lang w:val="en-US" w:eastAsia="zh-CN"/>
        </w:rPr>
        <w:t>及支出</w:t>
      </w:r>
      <w:r>
        <w:rPr>
          <w:rFonts w:hint="eastAsia" w:ascii="Times New Roman" w:hAnsi="Times New Roman" w:eastAsia="仿宋_GB2312" w:cs="Times New Roman"/>
          <w:sz w:val="32"/>
          <w:szCs w:val="32"/>
          <w:lang w:val="en-US" w:eastAsia="zh-CN"/>
        </w:rPr>
        <w:t>。</w:t>
      </w:r>
    </w:p>
    <w:p>
      <w:pPr>
        <w:pStyle w:val="19"/>
        <w:numPr>
          <w:ilvl w:val="0"/>
          <w:numId w:val="4"/>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关于机关运行经费支出说明</w:t>
      </w:r>
    </w:p>
    <w:p>
      <w:pPr>
        <w:pStyle w:val="19"/>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286.96</w:t>
      </w:r>
      <w:r>
        <w:rPr>
          <w:rFonts w:ascii="Times New Roman" w:hAnsi="Times New Roman" w:eastAsia="仿宋_GB2312" w:cs="Times New Roman"/>
          <w:sz w:val="32"/>
          <w:szCs w:val="32"/>
        </w:rPr>
        <w:t>万元，比年初预算数减少</w:t>
      </w:r>
      <w:r>
        <w:rPr>
          <w:rFonts w:hint="eastAsia" w:ascii="Times New Roman" w:hAnsi="Times New Roman" w:eastAsia="仿宋_GB2312" w:cs="Times New Roman"/>
          <w:sz w:val="32"/>
          <w:szCs w:val="32"/>
          <w:lang w:val="en-US" w:eastAsia="zh-CN"/>
        </w:rPr>
        <w:t>157.44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下降35.43</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厉行节约，减少不必要的开支，落实政府过紧日子要求。</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pPr>
        <w:pStyle w:val="19"/>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万元，用于用于召开广电系统表彰会议，人数</w:t>
      </w:r>
      <w:r>
        <w:rPr>
          <w:rFonts w:hint="eastAsia" w:ascii="Times New Roman" w:hAnsi="Times New Roman" w:eastAsia="仿宋_GB2312" w:cs="Times New Roman"/>
          <w:sz w:val="32"/>
          <w:szCs w:val="32"/>
          <w:lang w:val="en-US" w:eastAsia="zh-CN"/>
        </w:rPr>
        <w:t>72</w:t>
      </w:r>
      <w:r>
        <w:rPr>
          <w:rFonts w:ascii="Times New Roman" w:hAnsi="Times New Roman" w:eastAsia="仿宋_GB2312" w:cs="Times New Roman"/>
          <w:sz w:val="32"/>
          <w:szCs w:val="32"/>
        </w:rPr>
        <w:t>人，内容为总结202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年广电工作取得的成绩，表彰先进个人，安排部署202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的工作计划</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0.10</w:t>
      </w:r>
      <w:r>
        <w:rPr>
          <w:rFonts w:ascii="Times New Roman" w:hAnsi="Times New Roman" w:eastAsia="仿宋_GB2312" w:cs="Times New Roman"/>
          <w:sz w:val="32"/>
          <w:szCs w:val="32"/>
        </w:rPr>
        <w:t>万元，用于开展新闻采编播业务培训，人数</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人，闻采编播业务培训的讲课费；</w:t>
      </w:r>
      <w:r>
        <w:rPr>
          <w:rFonts w:hint="eastAsia" w:ascii="Times New Roman" w:hAnsi="Times New Roman" w:eastAsia="仿宋_GB2312" w:cs="Times New Roman"/>
          <w:sz w:val="32"/>
          <w:szCs w:val="32"/>
          <w:lang w:eastAsia="zh-CN"/>
        </w:rPr>
        <w:t>未举办节庆、晚会、论坛、赛事活动，</w:t>
      </w:r>
      <w:r>
        <w:rPr>
          <w:rFonts w:ascii="Times New Roman" w:hAnsi="Times New Roman" w:eastAsia="仿宋_GB2312" w:cs="Times New Roman"/>
          <w:sz w:val="32"/>
          <w:szCs w:val="32"/>
        </w:rPr>
        <w:t>开支0</w:t>
      </w:r>
      <w:r>
        <w:rPr>
          <w:rFonts w:hint="eastAsia"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pStyle w:val="19"/>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pPr>
        <w:pStyle w:val="19"/>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82.53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82.53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82.53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82.53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9"/>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pPr>
        <w:pStyle w:val="19"/>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9"/>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pStyle w:val="19"/>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纳入202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年度部门整体支出绩效目标的金额为3746.62万元，其中，基本支出3271.77万元，项目支出474.86万元，本年度本部门无重点项目支出，为常规性项目支出，具体内容详见附件。</w:t>
      </w:r>
    </w:p>
    <w:p>
      <w:pPr>
        <w:rPr>
          <w:rFonts w:ascii="Times New Roman" w:hAnsi="Times New Roman" w:eastAsia="方正小标宋_GBK" w:cs="Times New Roman"/>
          <w:sz w:val="52"/>
          <w:szCs w:val="52"/>
        </w:rPr>
      </w:pPr>
      <w:r>
        <w:rPr>
          <w:rFonts w:hint="eastAsia" w:ascii="Times New Roman" w:hAnsi="Times New Roman" w:eastAsia="仿宋_GB2312" w:cs="Times New Roman"/>
          <w:color w:val="auto"/>
          <w:sz w:val="32"/>
          <w:szCs w:val="32"/>
        </w:rPr>
        <w:br w:type="page"/>
      </w: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both"/>
        <w:rPr>
          <w:rFonts w:ascii="Times New Roman" w:hAnsi="Times New Roman" w:eastAsia="方正小标宋_GBK" w:cs="Times New Roman"/>
          <w:sz w:val="52"/>
          <w:szCs w:val="52"/>
        </w:rPr>
      </w:pPr>
    </w:p>
    <w:p>
      <w:pPr>
        <w:pStyle w:val="19"/>
        <w:spacing w:line="360" w:lineRule="auto"/>
        <w:jc w:val="both"/>
        <w:rPr>
          <w:rFonts w:ascii="Times New Roman" w:hAnsi="Times New Roman" w:eastAsia="方正小标宋_GBK" w:cs="Times New Roman"/>
          <w:sz w:val="52"/>
          <w:szCs w:val="52"/>
        </w:rPr>
      </w:pPr>
    </w:p>
    <w:p>
      <w:pPr>
        <w:pStyle w:val="19"/>
        <w:spacing w:line="360" w:lineRule="auto"/>
        <w:jc w:val="both"/>
        <w:rPr>
          <w:rFonts w:ascii="Times New Roman" w:hAnsi="Times New Roman" w:eastAsia="方正小标宋_GBK" w:cs="Times New Roman"/>
          <w:sz w:val="52"/>
          <w:szCs w:val="52"/>
        </w:rPr>
      </w:pPr>
    </w:p>
    <w:p>
      <w:pPr>
        <w:pStyle w:val="19"/>
        <w:spacing w:line="360" w:lineRule="auto"/>
        <w:jc w:val="both"/>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pStyle w:val="19"/>
        <w:spacing w:line="360" w:lineRule="auto"/>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 xml:space="preserve">  </w:t>
      </w:r>
    </w:p>
    <w:p>
      <w:pPr>
        <w:pStyle w:val="19"/>
        <w:spacing w:line="360" w:lineRule="auto"/>
        <w:jc w:val="center"/>
        <w:rPr>
          <w:rFonts w:hint="eastAsia" w:ascii="Times New Roman" w:hAnsi="Times New Roman" w:eastAsia="方正小标宋_GBK" w:cs="Times New Roman"/>
          <w:sz w:val="52"/>
          <w:szCs w:val="52"/>
          <w:lang w:val="en-US" w:eastAsia="zh-CN"/>
        </w:rPr>
      </w:pPr>
    </w:p>
    <w:p>
      <w:pPr>
        <w:pStyle w:val="19"/>
        <w:spacing w:line="360" w:lineRule="auto"/>
        <w:jc w:val="center"/>
        <w:rPr>
          <w:rFonts w:hint="eastAsia" w:ascii="Times New Roman" w:hAnsi="Times New Roman" w:eastAsia="方正小标宋_GBK" w:cs="Times New Roman"/>
          <w:sz w:val="52"/>
          <w:szCs w:val="52"/>
          <w:lang w:val="en-US" w:eastAsia="zh-CN"/>
        </w:rPr>
      </w:pPr>
    </w:p>
    <w:p>
      <w:pPr>
        <w:pStyle w:val="19"/>
        <w:spacing w:line="360" w:lineRule="auto"/>
        <w:jc w:val="center"/>
        <w:rPr>
          <w:rFonts w:hint="eastAsia" w:ascii="Times New Roman" w:hAnsi="Times New Roman" w:eastAsia="方正小标宋_GBK" w:cs="Times New Roman"/>
          <w:sz w:val="52"/>
          <w:szCs w:val="52"/>
          <w:lang w:val="en-US" w:eastAsia="zh-CN"/>
        </w:rPr>
      </w:pPr>
    </w:p>
    <w:p>
      <w:pPr>
        <w:pStyle w:val="19"/>
        <w:spacing w:line="360" w:lineRule="auto"/>
        <w:jc w:val="center"/>
        <w:rPr>
          <w:rFonts w:hint="eastAsia" w:ascii="Times New Roman" w:hAnsi="Times New Roman" w:eastAsia="方正小标宋_GBK" w:cs="Times New Roman"/>
          <w:sz w:val="52"/>
          <w:szCs w:val="52"/>
          <w:lang w:val="en-US" w:eastAsia="zh-CN"/>
        </w:rPr>
      </w:pPr>
    </w:p>
    <w:p>
      <w:pPr>
        <w:pStyle w:val="19"/>
        <w:spacing w:line="360" w:lineRule="auto"/>
        <w:jc w:val="both"/>
        <w:rPr>
          <w:rFonts w:hint="default" w:ascii="Times New Roman" w:hAnsi="Times New Roman" w:eastAsia="方正小标宋_GBK" w:cs="Times New Roman"/>
          <w:sz w:val="52"/>
          <w:szCs w:val="52"/>
          <w:lang w:val="en-US" w:eastAsia="zh-CN"/>
        </w:rPr>
      </w:pPr>
    </w:p>
    <w:p>
      <w:pPr>
        <w:pStyle w:val="19"/>
        <w:spacing w:line="360" w:lineRule="auto"/>
        <w:jc w:val="both"/>
        <w:rPr>
          <w:rFonts w:hint="default" w:ascii="Times New Roman" w:hAnsi="Times New Roman" w:eastAsia="方正小标宋_GBK" w:cs="Times New Roman"/>
          <w:sz w:val="52"/>
          <w:szCs w:val="52"/>
          <w:lang w:val="en-US" w:eastAsia="zh-CN"/>
        </w:rPr>
      </w:pPr>
    </w:p>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一、财政拨款收入：指省级财政当年拨付的资金。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二、其他收入：指除“财政拨款收入”以外的收入。本单位主要为上级部门专项收入及存款利息收入等。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三、年初结转和结余：指以前年度尚未完成、结转到本年仍按原规定用途继续使用的资金。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四、基本支出：指为保障机构正常运转、完成日常工作任务而发生的人员支出和公用支出。</w:t>
      </w:r>
    </w:p>
    <w:p>
      <w:pPr>
        <w:pStyle w:val="19"/>
        <w:spacing w:line="600" w:lineRule="exact"/>
        <w:ind w:firstLine="640" w:firstLineChars="200"/>
        <w:rPr>
          <w:rFonts w:hint="default" w:ascii="Times New Roman" w:hAnsi="Times New Roman" w:eastAsia="仿宋_GB2312" w:cs="Times New Roman"/>
          <w:i w:val="0"/>
          <w:iCs/>
          <w:color w:val="auto"/>
          <w:sz w:val="32"/>
          <w:szCs w:val="32"/>
          <w:highlight w:val="none"/>
        </w:rPr>
      </w:pPr>
      <w:r>
        <w:rPr>
          <w:rFonts w:hint="default" w:ascii="Times New Roman" w:hAnsi="Times New Roman" w:eastAsia="仿宋_GB2312" w:cs="Times New Roman"/>
          <w:i w:val="0"/>
          <w:iCs/>
          <w:color w:val="auto"/>
          <w:sz w:val="32"/>
          <w:szCs w:val="32"/>
          <w:highlight w:val="none"/>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i w:val="0"/>
          <w:iCs/>
          <w:color w:val="auto"/>
          <w:sz w:val="32"/>
          <w:szCs w:val="32"/>
          <w:highlight w:val="none"/>
        </w:rPr>
      </w:pPr>
      <w:r>
        <w:rPr>
          <w:rFonts w:hint="eastAsia" w:ascii="Times New Roman" w:hAnsi="Times New Roman" w:eastAsia="仿宋_GB2312" w:cs="Times New Roman"/>
          <w:i w:val="0"/>
          <w:iCs/>
          <w:color w:val="auto"/>
          <w:sz w:val="32"/>
          <w:szCs w:val="32"/>
          <w:highlight w:val="none"/>
          <w:lang w:val="en-US" w:eastAsia="zh-CN"/>
        </w:rPr>
        <w:t>六</w:t>
      </w:r>
      <w:r>
        <w:rPr>
          <w:rFonts w:hint="default" w:ascii="Times New Roman" w:hAnsi="Times New Roman" w:eastAsia="仿宋_GB2312" w:cs="Times New Roman"/>
          <w:i w:val="0"/>
          <w:iCs/>
          <w:color w:val="auto"/>
          <w:sz w:val="32"/>
          <w:szCs w:val="32"/>
          <w:highlight w:val="none"/>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9"/>
        <w:spacing w:line="600" w:lineRule="exact"/>
        <w:ind w:firstLine="640" w:firstLineChars="200"/>
        <w:rPr>
          <w:rFonts w:ascii="Times New Roman" w:hAnsi="Times New Roman" w:eastAsia="楷体_GB2312" w:cs="Times New Roman"/>
          <w:b/>
          <w:bCs/>
          <w:i/>
          <w:color w:val="auto"/>
          <w:sz w:val="32"/>
          <w:szCs w:val="32"/>
        </w:rPr>
      </w:pPr>
      <w:r>
        <w:rPr>
          <w:rFonts w:hint="eastAsia" w:ascii="Times New Roman" w:hAnsi="Times New Roman" w:eastAsia="仿宋_GB2312" w:cs="Times New Roman"/>
          <w:i w:val="0"/>
          <w:iCs/>
          <w:color w:val="auto"/>
          <w:sz w:val="32"/>
          <w:szCs w:val="32"/>
          <w:highlight w:val="none"/>
          <w:lang w:val="en-US" w:eastAsia="zh-CN"/>
        </w:rPr>
        <w:t>七</w:t>
      </w:r>
      <w:r>
        <w:rPr>
          <w:rFonts w:hint="default" w:ascii="Times New Roman" w:hAnsi="Times New Roman" w:eastAsia="仿宋_GB2312" w:cs="Times New Roman"/>
          <w:i w:val="0"/>
          <w:iCs/>
          <w:color w:val="auto"/>
          <w:sz w:val="32"/>
          <w:szCs w:val="32"/>
          <w:highlight w:val="none"/>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9"/>
        <w:spacing w:line="360" w:lineRule="auto"/>
        <w:jc w:val="both"/>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pPr>
    </w:p>
    <w:p>
      <w:pPr>
        <w:pStyle w:val="19"/>
        <w:spacing w:line="360" w:lineRule="auto"/>
        <w:jc w:val="center"/>
        <w:rPr>
          <w:rFonts w:ascii="Times New Roman" w:hAnsi="Times New Roman" w:eastAsia="方正小标宋_GBK" w:cs="Times New Roman"/>
          <w:sz w:val="52"/>
          <w:szCs w:val="52"/>
        </w:rPr>
        <w:sectPr>
          <w:pgSz w:w="11900" w:h="16840"/>
          <w:pgMar w:top="1417" w:right="1587" w:bottom="1417" w:left="1587" w:header="0" w:footer="0" w:gutter="0"/>
          <w:cols w:space="720" w:num="1"/>
        </w:sectPr>
      </w:pPr>
      <w:r>
        <w:rPr>
          <w:rFonts w:ascii="Times New Roman" w:hAnsi="Times New Roman" w:eastAsia="方正小标宋_GBK" w:cs="Times New Roman"/>
          <w:sz w:val="52"/>
          <w:szCs w:val="52"/>
        </w:rPr>
        <w:t>第五部分   附 件</w:t>
      </w:r>
    </w:p>
    <w:p>
      <w:pPr>
        <w:keepNext w:val="0"/>
        <w:keepLines w:val="0"/>
        <w:pageBreakBefore w:val="0"/>
        <w:widowControl w:val="0"/>
        <w:overflowPunct/>
        <w:topLinePunct w:val="0"/>
        <w:bidi w:val="0"/>
        <w:jc w:val="center"/>
        <w:rPr>
          <w:rFonts w:hint="eastAsia" w:ascii="Times New Roman" w:hAnsi="Times New Roman" w:eastAsia="仿宋_GB2312" w:cs="Times New Roman"/>
          <w:b/>
          <w:bCs/>
          <w:i w:val="0"/>
          <w:iCs/>
          <w:color w:val="auto"/>
          <w:sz w:val="44"/>
          <w:szCs w:val="44"/>
          <w:highlight w:val="none"/>
        </w:rPr>
      </w:pPr>
      <w:r>
        <w:rPr>
          <w:rFonts w:hint="default" w:ascii="Times New Roman" w:hAnsi="Times New Roman" w:eastAsia="仿宋_GB2312" w:cs="Times New Roman"/>
          <w:b/>
          <w:bCs/>
          <w:i w:val="0"/>
          <w:iCs/>
          <w:color w:val="auto"/>
          <w:sz w:val="44"/>
          <w:szCs w:val="44"/>
          <w:highlight w:val="none"/>
        </w:rPr>
        <w:t>202</w:t>
      </w:r>
      <w:r>
        <w:rPr>
          <w:rFonts w:hint="eastAsia" w:ascii="Times New Roman" w:hAnsi="Times New Roman" w:eastAsia="仿宋_GB2312" w:cs="Times New Roman"/>
          <w:b/>
          <w:bCs/>
          <w:i w:val="0"/>
          <w:iCs/>
          <w:color w:val="auto"/>
          <w:sz w:val="44"/>
          <w:szCs w:val="44"/>
          <w:highlight w:val="none"/>
          <w:lang w:val="en-US" w:eastAsia="zh-CN"/>
        </w:rPr>
        <w:t>4</w:t>
      </w:r>
      <w:r>
        <w:rPr>
          <w:rFonts w:hint="eastAsia" w:ascii="Times New Roman" w:hAnsi="Times New Roman" w:eastAsia="仿宋_GB2312" w:cs="Times New Roman"/>
          <w:b/>
          <w:bCs/>
          <w:i w:val="0"/>
          <w:iCs/>
          <w:color w:val="auto"/>
          <w:sz w:val="44"/>
          <w:szCs w:val="44"/>
          <w:highlight w:val="none"/>
        </w:rPr>
        <w:t>年度部门整体支出绩效自评报告</w:t>
      </w:r>
    </w:p>
    <w:p>
      <w:pPr>
        <w:keepNext w:val="0"/>
        <w:keepLines w:val="0"/>
        <w:pageBreakBefore w:val="0"/>
        <w:widowControl w:val="0"/>
        <w:suppressLineNumbers w:val="0"/>
        <w:overflowPunct/>
        <w:topLinePunct w:val="0"/>
        <w:bidi w:val="0"/>
        <w:spacing w:line="600" w:lineRule="exact"/>
        <w:jc w:val="left"/>
        <w:rPr>
          <w:rFonts w:hint="eastAsia" w:ascii="黑体" w:hAnsi="宋体" w:eastAsia="黑体" w:cs="黑体"/>
          <w:color w:val="000000"/>
          <w:kern w:val="0"/>
          <w:sz w:val="31"/>
          <w:szCs w:val="31"/>
          <w:lang w:val="en-US" w:eastAsia="zh-CN" w:bidi="ar"/>
        </w:rPr>
      </w:pPr>
    </w:p>
    <w:p>
      <w:pPr>
        <w:keepNext w:val="0"/>
        <w:keepLines w:val="0"/>
        <w:pageBreakBefore w:val="0"/>
        <w:widowControl w:val="0"/>
        <w:overflowPunct/>
        <w:topLinePunct w:val="0"/>
        <w:bidi w:val="0"/>
        <w:spacing w:line="600" w:lineRule="exac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一、部门职责</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根据《中共祁阳县委祁阳县人民政府关于印发〈祁阳县机构改革方案〉的通知》（祁发〔2019]2号）和《中共祁阳县委办公室祁阳县人民政府办公室关于祁阳县机构改革涉改科级事业单位调整的通知》（祁办发[2019]4号）精神,整合祁阳广播电视台、祁阳新闻网、祁阳手机报、“村村响”广播、“中国微祁阳”微信公众号、祁阳发布、新湖南祁阳频道、今日永州祁阳频道、祁阳政府网的新闻发布平台、各单位微信微博等全市所有公共媒体资源，组建祁阳市融媒体中心（以下简称市融媒体中心）为祁阳市人民政府直属正科级公益类事业单位，归口中共祁阳市委宣传部管理。</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市融媒体中心贯彻落实中央、省、市关于融媒体工作的方针政策和部署要求，在履行职责过程中坚持和加强党对融媒体工作的集中统一领导。主要职责是:</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（一）贯彻执行党和国家有关新闻宣传、媒体管理的方针政策和法律法规，把握正确的舆论导向；拟定全市融媒体事业发展规划，经批准后组织实施。</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（二）负责全市融媒体事业的开发、建设、融合、运营和维护，开展媒体服务、党建服务、政务服务、公共服务、增值服务等业务。</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（三）在祁阳市委的领导下，按照市委宣传部的安排部署，研究新闻宣传中的重大课题，具体实施全市新闻宣传报道，不断提高宣传品质和水平，当好党和人民的喉舌。</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（四）负责融媒体安全播出、发布、传输和发射，做好有线无线数字地面覆盖工程建设运营维护工作。</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（五）负责媒体特别是新媒体的科学研究、开发应用申报评定和推广使用。</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（六）负责使用融媒体中心、广播电视系统专项资金，管理、经营原市广播电视台所属企事业单位占有（用）的全部国有资产并承担国有资产保值的责任。</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（七）负责全市融媒体人才的培训、培养、引进和对外交流合作工作。</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（八）负责融媒体文化产业经营发展创收，负责全市各类宣传产品的策划、设计和制作，开展媒体商业活动，承办全市各类大型宣传文化活动。</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（九）完成市委、市政府、市委宣传部交办的其它事项。</w:t>
      </w:r>
    </w:p>
    <w:p>
      <w:pPr>
        <w:pStyle w:val="20"/>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二、机构设置及决算单位构成</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800" w:firstLineChars="250"/>
        <w:jc w:val="both"/>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（一）内设机构设置。</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祁阳市融媒体中心是市人民政府直属正科级事业单位，内设办公室、人事股、计财股、总编辑部、新闻采访部、制作部、广播部、技术部、播出部、网络传输维护部等下属单位</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800" w:firstLineChars="250"/>
        <w:jc w:val="both"/>
        <w:textAlignment w:val="baseline"/>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en-US"/>
        </w:rPr>
        <w:t>决算单位构成。</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600" w:lineRule="exact"/>
        <w:ind w:firstLine="800" w:firstLineChars="250"/>
        <w:jc w:val="both"/>
        <w:textAlignment w:val="baseline"/>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祁阳市融媒体中心</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eastAsia="zh-CN"/>
        </w:rPr>
        <w:t>：祁阳市融媒体中心</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jc w:val="left"/>
        <w:textAlignment w:val="auto"/>
        <w:outlineLvl w:val="9"/>
        <w:rPr>
          <w:rFonts w:hint="eastAsia" w:ascii="Times New Roman" w:hAnsi="Times New Roman" w:eastAsia="仿宋_GB2312" w:cs="Times New Roman"/>
          <w:b/>
          <w:bCs/>
          <w:i w:val="0"/>
          <w:iCs/>
          <w:color w:val="auto"/>
          <w:sz w:val="32"/>
          <w:szCs w:val="32"/>
          <w:highlight w:val="none"/>
          <w:lang w:val="en-US" w:eastAsia="zh-CN"/>
        </w:rPr>
      </w:pPr>
      <w:r>
        <w:rPr>
          <w:rFonts w:hint="eastAsia" w:ascii="Times New Roman" w:hAnsi="Times New Roman" w:eastAsia="仿宋_GB2312" w:cs="Times New Roman"/>
          <w:b/>
          <w:bCs/>
          <w:i w:val="0"/>
          <w:iCs/>
          <w:color w:val="auto"/>
          <w:sz w:val="32"/>
          <w:szCs w:val="32"/>
          <w:highlight w:val="none"/>
          <w:lang w:val="en-US" w:eastAsia="zh-CN"/>
        </w:rPr>
        <w:t>（二）单位整体支出规模、使用方向和主要内容、涉及范围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2024年我单位总收入3746.62万元，其中一般公共预算收入3672.76万元，政府性基金预算财政拨款收入2.00万元，其他收入71.86万元。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仿宋_GB2312" w:cs="Times New Roman"/>
          <w:b w:val="0"/>
          <w:bCs w:val="0"/>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2024年我单位总支出3746.62万元，其中基本支出3271.77万元（人员经费2982.08万元，公用经费289.68万</w:t>
      </w:r>
      <w:r>
        <w:rPr>
          <w:rFonts w:hint="eastAsia" w:ascii="Times New Roman" w:hAnsi="Times New Roman" w:eastAsia="仿宋_GB2312" w:cs="Times New Roman"/>
          <w:b/>
          <w:bCs/>
          <w:i w:val="0"/>
          <w:iCs/>
          <w:color w:val="auto"/>
          <w:sz w:val="32"/>
          <w:szCs w:val="32"/>
          <w:highlight w:val="none"/>
          <w:lang w:val="en-US" w:eastAsia="zh-CN"/>
        </w:rPr>
        <w:t>元</w:t>
      </w:r>
      <w:r>
        <w:rPr>
          <w:rFonts w:hint="eastAsia" w:ascii="Times New Roman" w:hAnsi="Times New Roman" w:eastAsia="仿宋_GB2312" w:cs="Times New Roman"/>
          <w:b w:val="0"/>
          <w:bCs w:val="0"/>
          <w:i w:val="0"/>
          <w:iCs/>
          <w:color w:val="auto"/>
          <w:sz w:val="32"/>
          <w:szCs w:val="32"/>
          <w:highlight w:val="none"/>
          <w:lang w:val="en-US" w:eastAsia="zh-CN"/>
        </w:rPr>
        <w:t>），项目支出474.86万元。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pPr>
      <w:r>
        <w:rPr>
          <w:rFonts w:hint="eastAsia" w:ascii="Times New Roman" w:hAnsi="Times New Roman" w:eastAsia="仿宋_GB2312" w:cs="Times New Roman"/>
          <w:b/>
          <w:bCs/>
          <w:i w:val="0"/>
          <w:iCs/>
          <w:color w:val="auto"/>
          <w:sz w:val="32"/>
          <w:szCs w:val="32"/>
          <w:highlight w:val="none"/>
          <w:lang w:val="en-US" w:eastAsia="zh-CN"/>
        </w:rPr>
        <w:t xml:space="preserve">二、部门（单位）整体支出管理及使用情况 </w:t>
      </w: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jc w:val="left"/>
        <w:textAlignment w:val="auto"/>
        <w:outlineLvl w:val="9"/>
        <w:rPr>
          <w:rFonts w:hint="eastAsia" w:ascii="Times New Roman" w:hAnsi="Times New Roman" w:eastAsia="仿宋_GB2312" w:cs="Times New Roman"/>
          <w:b/>
          <w:bCs/>
          <w:i w:val="0"/>
          <w:iCs/>
          <w:color w:val="auto"/>
          <w:sz w:val="32"/>
          <w:szCs w:val="32"/>
          <w:highlight w:val="none"/>
          <w:lang w:val="en-US" w:eastAsia="zh-CN"/>
        </w:rPr>
      </w:pPr>
      <w:r>
        <w:rPr>
          <w:rFonts w:hint="eastAsia" w:ascii="Times New Roman" w:hAnsi="Times New Roman" w:eastAsia="仿宋_GB2312" w:cs="Times New Roman"/>
          <w:b/>
          <w:bCs/>
          <w:i w:val="0"/>
          <w:iCs/>
          <w:color w:val="auto"/>
          <w:sz w:val="32"/>
          <w:szCs w:val="32"/>
          <w:highlight w:val="none"/>
          <w:lang w:val="en-US" w:eastAsia="zh-CN"/>
        </w:rPr>
        <w:t xml:space="preserve">（一）基本支出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2024年我单位年初预算基本支出3176.33万元，年中追加95.44万元，总支出3271.77万元。其中工资福利支出2940.28万元，商品和服务支出278.74万元，对个人和家庭的补助41.80万元，资本性支出10.95万元。年末无结转结余。</w:t>
      </w:r>
    </w:p>
    <w:p>
      <w:pPr>
        <w:keepNext w:val="0"/>
        <w:keepLines w:val="0"/>
        <w:pageBreakBefore w:val="0"/>
        <w:widowControl w:val="0"/>
        <w:suppressLineNumbers w:val="0"/>
        <w:overflowPunct/>
        <w:topLinePunct w:val="0"/>
        <w:bidi w:val="0"/>
        <w:spacing w:line="600" w:lineRule="exact"/>
        <w:ind w:firstLine="311" w:firstLineChars="100"/>
        <w:jc w:val="left"/>
        <w:rPr>
          <w:rFonts w:hint="eastAsia" w:ascii="Times New Roman" w:hAnsi="Times New Roman" w:eastAsia="仿宋_GB2312" w:cs="Times New Roman"/>
          <w:b/>
          <w:bCs/>
          <w:i w:val="0"/>
          <w:iCs/>
          <w:color w:val="auto"/>
          <w:sz w:val="32"/>
          <w:szCs w:val="32"/>
          <w:highlight w:val="none"/>
          <w:lang w:val="en-US" w:eastAsia="zh-CN"/>
        </w:rPr>
      </w:pPr>
      <w:r>
        <w:rPr>
          <w:rFonts w:ascii="楷体_GB2312" w:hAnsi="楷体_GB2312" w:eastAsia="楷体_GB2312" w:cs="楷体_GB2312"/>
          <w:b/>
          <w:bCs/>
          <w:color w:val="000000"/>
          <w:kern w:val="0"/>
          <w:sz w:val="31"/>
          <w:szCs w:val="31"/>
          <w:lang w:val="en-US" w:eastAsia="zh-CN" w:bidi="ar"/>
        </w:rPr>
        <w:t>（</w:t>
      </w:r>
      <w:r>
        <w:rPr>
          <w:rFonts w:hint="eastAsia" w:ascii="Times New Roman" w:hAnsi="Times New Roman" w:eastAsia="仿宋_GB2312" w:cs="Times New Roman"/>
          <w:b/>
          <w:bCs/>
          <w:i w:val="0"/>
          <w:iCs/>
          <w:color w:val="auto"/>
          <w:sz w:val="32"/>
          <w:szCs w:val="32"/>
          <w:highlight w:val="none"/>
          <w:lang w:val="en-US" w:eastAsia="zh-CN"/>
        </w:rPr>
        <w:t xml:space="preserve">二）项目支出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仿宋_GB2312" w:cs="Times New Roman"/>
          <w:b w:val="0"/>
          <w:bCs w:val="0"/>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2024年我单位年初预算项目支出135.60万元，年中追加339.26万元，总支出474.86万元。其中工资福利支出45.89万元，商品服务支出331.10万元，对个人和家庭的补助26.28万</w:t>
      </w:r>
      <w:r>
        <w:rPr>
          <w:rFonts w:hint="eastAsia" w:ascii="Times New Roman" w:hAnsi="Times New Roman" w:eastAsia="仿宋_GB2312" w:cs="Times New Roman"/>
          <w:b w:val="0"/>
          <w:bCs w:val="0"/>
          <w:i w:val="0"/>
          <w:iCs/>
          <w:color w:val="auto"/>
          <w:sz w:val="32"/>
          <w:szCs w:val="32"/>
          <w:highlight w:val="none"/>
          <w:lang w:val="en-US" w:eastAsia="zh-CN"/>
        </w:rPr>
        <w:t>元，资本性支出71.58万元。年末无结转结余。</w:t>
      </w:r>
    </w:p>
    <w:p>
      <w:pPr>
        <w:keepNext w:val="0"/>
        <w:keepLines w:val="0"/>
        <w:pageBreakBefore w:val="0"/>
        <w:widowControl w:val="0"/>
        <w:overflowPunct/>
        <w:topLinePunct w:val="0"/>
        <w:bidi w:val="0"/>
        <w:spacing w:line="600" w:lineRule="exac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三、部门（单位）整体支出绩效情况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一是新闻宣传更有力，电视新闻省、市对外宣传稳居永州前列。持续开展好《贯彻落实党的二十大精神》主题宣传报道，围绕市委、市政府主要工作开辟了大兴调查研究之风专栏《学思想、强党性、重实践、建新功》《创文进行时》《文明新风在祁阳》等多个紧扣中心、贴近民意的专栏，位列全省县市区前列；《【新思想引领新征程】推进教育数字化 加快建设学习型社会》在《新闻联播》头条播出，开创了祁阳宣传报道的先河；祁阳外宣上稿综合排名在永州市位居前列。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二是融媒作品更出彩，平台粉丝、流量实现双提升。在宣传贯彻党的二十大精神、推动文旅产业高质量发展、民生实事、重点项目等报道中，坚持全兵团作战、全媒体生产、全平台推送，运用无人机、短视频、H5等技术，优化信息内容、丰富表现形式，增强信息呈现的质量和视觉冲击，提高新闻舆论传播力、引导力、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三是直播团队更专业，直播效果日趋向好、关注度越来越高。坚持过紧日子，把有限的资金全部用到主流舆论阵地的建设上，对电视节目生产、播出全程进行了高清化全面改造，投入90多万元添置了一批5G传输，高清导播、全景航拍、存储制作等设备，对直播设施设备进行了升级改造，细化了直播团队分工和直播技术方案，完成了祁阳市2024年春节联欢晚会、元宵喜乐会、两会、油菜花节、祁阳市首届龙舟赛等直播。直播关注了热点，引来了流量，多场直播观看人数超过了永州台同类、同一时间的直播活动。特别是今年端午节，从长沙租借设备和请来团队，克服自身设备不能进行远距离赛事直播的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四是专题专栏更优质，数量翻番、形式内容得到各界认可。承接了季度项目大片《祁阳重大项目建设情况》纪实片，制作了《新时代新祁阳》《祁阳市创建文明城市纪实》《激活乡村振兴“一池春水”》《祁阳市2024年“阅读城市·书香祁阳”全民阅读》《利剑出鞘  潜心护农——祁阳市“三湘护农”专项行动纪录片》等20多部围绕中心、服务大局的专题片，有力助推了各项工作在省、市争先创优。与市卫健合作，开设了《中医大讲堂》，用专业的视角解读中医知识，搭建了观众与专家沟通的桥梁，助力中医示范县的创建；调整《政法在线》栏目组人员结构，改版升级栏目板块和内容，用通俗易懂的方式给观众进行普法知识宣传，增强了栏目的可看性，得到了社会各界的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五是媒体融合更深入，融平台、强队伍，融合成效显现。 持续推进市新时代文明实践中心、市融媒体中心融合共建，形式多样的志愿服务活动成了融媒体中心的“练兵场”。“云上祁阳”App嵌入“文明实践”线上平台，不断优化功能布局，实现“注册、登陆、服务、活动开展”等内容积分功能。同时完善记者联系镇、街道宣传联络员机制，精挑22名能采、会拍、精编的融媒记者作为“两中心”的神经末梢，深入一线，与基层宣传干事及通讯员协同发力，完成多次重大主题报道。上半年新闻线索上报和上稿量月均递增10%左右。目前，融合共建办下行推送一道重要指令，一天内的阅读或转发量达到本地常住人口的30%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六是融媒事业创新发展，安全播出全年零差错。面对电信、移动等网络电视的冲击和新兴媒体的蓬勃发展，融媒体中心积极探索市场化运作的路子，主动联系永州市汽车协会，积极参与秋季及冬季车展的各项广告宣传工作，同时积极催收往年广告欠款。安全播出方面做好了春节、两会等重大活动期间的安全播出，全年实现安全生产“零事故”、安全播出“零差错”。继续开展对全市农村有线、无线数字电视的传输和维护及对城区和全市563个村（社区）“村村响”广播的维护，新建了一条机房至龙口源基站长约8公里的光缆线路，彻底解决龙口源信号传输不稳定问题；投入改造资金50多万元，对潘市镇七一村高标准农田改造受损线路、光明污水处理厂、创文线路下地、衡永高速入口沿线扩建、潘市镇毛家村路段等处线路进行改造。</w:t>
      </w:r>
    </w:p>
    <w:p>
      <w:pPr>
        <w:keepNext w:val="0"/>
        <w:keepLines w:val="0"/>
        <w:pageBreakBefore w:val="0"/>
        <w:widowControl w:val="0"/>
        <w:overflowPunct/>
        <w:topLinePunct w:val="0"/>
        <w:bidi w:val="0"/>
        <w:spacing w:line="600" w:lineRule="exac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四、绩效评价结论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本单位已完成既定目标。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全面贯彻落实党的二十大精神,紧紧围绕"建设新祁阳,挺进省十强"的总体目标,突出"改革创新"和"团结奋斗"两大主题,新闻宣传继续保持在省、市第一方阵，力争获得省广播电视台的年度优秀通联集体和湖南日报的县级融媒十佳先锋团队。</w:t>
      </w:r>
    </w:p>
    <w:p>
      <w:pPr>
        <w:keepNext w:val="0"/>
        <w:keepLines w:val="0"/>
        <w:pageBreakBefore w:val="0"/>
        <w:widowControl w:val="0"/>
        <w:overflowPunct/>
        <w:topLinePunct w:val="0"/>
        <w:bidi w:val="0"/>
        <w:spacing w:line="600" w:lineRule="exac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五、存在的主要问题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虽然通过加强单位预算绩效管理工作，使我单位各部门牢固树立了“讲绩效、重绩效、用绩效”的观念，但在具体工作中还存在一些需要解决的问题：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一是业务素质有待进一步提高。由于预算绩效管理工作开展时间短，涉及面广，专业性强，我单位对预算绩效管理理解还不十分充分，对预算绩效管理业务也还不十分精通，在一定程度上影响了绩效评价工作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二是评价指标体系需要进一步完善。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p>
    <w:p>
      <w:pPr>
        <w:keepNext w:val="0"/>
        <w:keepLines w:val="0"/>
        <w:pageBreakBefore w:val="0"/>
        <w:widowControl w:val="0"/>
        <w:overflowPunct/>
        <w:topLinePunct w:val="0"/>
        <w:bidi w:val="0"/>
        <w:spacing w:line="600" w:lineRule="exac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六、改进措施和有关建议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iCs/>
          <w:color w:val="auto"/>
          <w:sz w:val="32"/>
          <w:szCs w:val="32"/>
          <w:highlight w:val="none"/>
          <w:lang w:val="en-US" w:eastAsia="zh-CN"/>
        </w:rPr>
      </w:pPr>
      <w:r>
        <w:rPr>
          <w:rFonts w:hint="eastAsia" w:ascii="Times New Roman" w:hAnsi="Times New Roman" w:eastAsia="仿宋_GB2312" w:cs="Times New Roman"/>
          <w:i w:val="0"/>
          <w:iCs/>
          <w:color w:val="auto"/>
          <w:sz w:val="32"/>
          <w:szCs w:val="32"/>
          <w:highlight w:val="none"/>
          <w:lang w:val="en-US" w:eastAsia="zh-CN"/>
        </w:rPr>
        <w:t>加强《预算法》、《行政单位会计制度》等法律法规学习，进一步提高业务素质，进一步完善预算评价指标体系，规范部门预算收支核算，制定和完善基本支出、项目支出等各项支出标准，严格按项目和进度执行预算，增强预算的约束力和严肃性。</w:t>
      </w:r>
    </w:p>
    <w:p>
      <w:pPr>
        <w:keepNext w:val="0"/>
        <w:keepLines w:val="0"/>
        <w:pageBreakBefore w:val="0"/>
        <w:overflowPunct/>
        <w:topLinePunct w:val="0"/>
        <w:bidi w:val="0"/>
        <w:spacing w:line="600" w:lineRule="exact"/>
        <w:jc w:val="center"/>
        <w:rPr>
          <w:rFonts w:hint="eastAsia" w:ascii="Times New Roman" w:hAnsi="Times New Roman" w:eastAsia="仿宋_GB2312" w:cs="Times New Roman"/>
          <w:b/>
          <w:bCs/>
          <w:i w:val="0"/>
          <w:iCs/>
          <w:color w:val="auto"/>
          <w:sz w:val="44"/>
          <w:szCs w:val="44"/>
          <w:highlight w:val="none"/>
          <w:lang w:eastAsia="zh-CN"/>
        </w:rPr>
      </w:pPr>
    </w:p>
    <w:sectPr>
      <w:headerReference r:id="rId5" w:type="default"/>
      <w:pgSz w:w="11900" w:h="16840"/>
      <w:pgMar w:top="1417" w:right="1587" w:bottom="1417"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030875-2EDD-459C-8370-1C2AE68B3EDE}"/>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BD3E8B70-D701-4E0E-A644-628E24B385A0}"/>
  </w:font>
  <w:font w:name="方正小标宋_GBK">
    <w:panose1 w:val="03000509000000000000"/>
    <w:charset w:val="86"/>
    <w:family w:val="script"/>
    <w:pitch w:val="default"/>
    <w:sig w:usb0="00000001" w:usb1="080E0000" w:usb2="00000000" w:usb3="00000000" w:csb0="00040000" w:csb1="00000000"/>
    <w:embedRegular r:id="rId3" w:fontKey="{82A3E7D1-432C-49DB-A95E-041303DCE7D2}"/>
  </w:font>
  <w:font w:name="仿宋_GB2312">
    <w:panose1 w:val="02010609030101010101"/>
    <w:charset w:val="86"/>
    <w:family w:val="modern"/>
    <w:pitch w:val="default"/>
    <w:sig w:usb0="00000001" w:usb1="080E0000" w:usb2="00000000" w:usb3="00000000" w:csb0="00040000" w:csb1="00000000"/>
    <w:embedRegular r:id="rId4" w:fontKey="{AC0AD17F-537F-4801-BD22-EA5F99EB26C6}"/>
  </w:font>
  <w:font w:name="华文中宋">
    <w:panose1 w:val="02010600040101010101"/>
    <w:charset w:val="86"/>
    <w:family w:val="auto"/>
    <w:pitch w:val="default"/>
    <w:sig w:usb0="00000287" w:usb1="080F0000" w:usb2="00000000" w:usb3="00000000" w:csb0="0004009F" w:csb1="DFD70000"/>
    <w:embedRegular r:id="rId5" w:fontKey="{A35E3443-0C06-40CF-BA91-D825DDFDCFEF}"/>
  </w:font>
  <w:font w:name="楷体_GB2312">
    <w:panose1 w:val="02010609030101010101"/>
    <w:charset w:val="86"/>
    <w:family w:val="modern"/>
    <w:pitch w:val="default"/>
    <w:sig w:usb0="00000001" w:usb1="080E0000" w:usb2="00000000" w:usb3="00000000" w:csb0="00040000" w:csb1="00000000"/>
    <w:embedRegular r:id="rId6" w:fontKey="{57C7EC7B-0C74-401D-B4D7-2ACA845147A0}"/>
  </w:font>
  <w:font w:name="楷体">
    <w:panose1 w:val="02010609060101010101"/>
    <w:charset w:val="86"/>
    <w:family w:val="auto"/>
    <w:pitch w:val="default"/>
    <w:sig w:usb0="800002BF" w:usb1="38CF7CFA" w:usb2="00000016" w:usb3="00000000" w:csb0="00040001" w:csb1="00000000"/>
    <w:embedRegular r:id="rId7" w:fontKey="{13134914-4692-457E-9F51-3392212A6653}"/>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EB3D7"/>
    <w:multiLevelType w:val="singleLevel"/>
    <w:tmpl w:val="819EB3D7"/>
    <w:lvl w:ilvl="0" w:tentative="0">
      <w:start w:val="15"/>
      <w:numFmt w:val="decimal"/>
      <w:suff w:val="nothing"/>
      <w:lvlText w:val="%1、"/>
      <w:lvlJc w:val="left"/>
    </w:lvl>
  </w:abstractNum>
  <w:abstractNum w:abstractNumId="1">
    <w:nsid w:val="C8BEDACD"/>
    <w:multiLevelType w:val="singleLevel"/>
    <w:tmpl w:val="C8BEDACD"/>
    <w:lvl w:ilvl="0" w:tentative="0">
      <w:start w:val="7"/>
      <w:numFmt w:val="chineseCounting"/>
      <w:suff w:val="nothing"/>
      <w:lvlText w:val="%1、"/>
      <w:lvlJc w:val="left"/>
      <w:rPr>
        <w:rFonts w:hint="eastAsia"/>
      </w:rPr>
    </w:lvl>
  </w:abstractNum>
  <w:abstractNum w:abstractNumId="2">
    <w:nsid w:val="CA3A7988"/>
    <w:multiLevelType w:val="singleLevel"/>
    <w:tmpl w:val="CA3A7988"/>
    <w:lvl w:ilvl="0" w:tentative="0">
      <w:start w:val="9"/>
      <w:numFmt w:val="chineseCounting"/>
      <w:suff w:val="nothing"/>
      <w:lvlText w:val="%1、"/>
      <w:lvlJc w:val="left"/>
      <w:rPr>
        <w:rFonts w:hint="eastAsia"/>
      </w:rPr>
    </w:lvl>
  </w:abstractNum>
  <w:abstractNum w:abstractNumId="3">
    <w:nsid w:val="3AB40023"/>
    <w:multiLevelType w:val="singleLevel"/>
    <w:tmpl w:val="3AB40023"/>
    <w:lvl w:ilvl="0" w:tentative="0">
      <w:start w:val="9"/>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NGU5YTJlNmRmYmJiNzYwY2QzMTg3YjFiYWZjMWIifQ=="/>
  </w:docVars>
  <w:rsids>
    <w:rsidRoot w:val="00A241FE"/>
    <w:rsid w:val="00176EBA"/>
    <w:rsid w:val="00242557"/>
    <w:rsid w:val="002A0269"/>
    <w:rsid w:val="0030034B"/>
    <w:rsid w:val="00493466"/>
    <w:rsid w:val="00497E0A"/>
    <w:rsid w:val="004F417D"/>
    <w:rsid w:val="00544D70"/>
    <w:rsid w:val="006A55C8"/>
    <w:rsid w:val="00801FEC"/>
    <w:rsid w:val="00850E45"/>
    <w:rsid w:val="009C01F5"/>
    <w:rsid w:val="00A241FE"/>
    <w:rsid w:val="00AE4110"/>
    <w:rsid w:val="00C25658"/>
    <w:rsid w:val="00D27CA5"/>
    <w:rsid w:val="00DF5F38"/>
    <w:rsid w:val="00E83803"/>
    <w:rsid w:val="095962AF"/>
    <w:rsid w:val="12AB5C2B"/>
    <w:rsid w:val="158D0E46"/>
    <w:rsid w:val="1F707A57"/>
    <w:rsid w:val="25185E38"/>
    <w:rsid w:val="25A95A70"/>
    <w:rsid w:val="2ABC08B6"/>
    <w:rsid w:val="2D776454"/>
    <w:rsid w:val="38A82A64"/>
    <w:rsid w:val="3B8C17C0"/>
    <w:rsid w:val="3EAD7872"/>
    <w:rsid w:val="429F402B"/>
    <w:rsid w:val="4BD62176"/>
    <w:rsid w:val="4D6D377D"/>
    <w:rsid w:val="50836016"/>
    <w:rsid w:val="54264D8C"/>
    <w:rsid w:val="5D40681F"/>
    <w:rsid w:val="5DB46785"/>
    <w:rsid w:val="673E5311"/>
    <w:rsid w:val="6C1B74B5"/>
    <w:rsid w:val="70174B34"/>
    <w:rsid w:val="75EA4FE2"/>
    <w:rsid w:val="77E617D9"/>
    <w:rsid w:val="784F54E5"/>
    <w:rsid w:val="7EC5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4">
    <w:name w:val="heading 2"/>
    <w:basedOn w:val="1"/>
    <w:next w:val="1"/>
    <w:qFormat/>
    <w:uiPriority w:val="99"/>
    <w:pPr>
      <w:outlineLvl w:val="1"/>
    </w:pPr>
    <w:rPr>
      <w:rFonts w:ascii="宋体" w:hAnsi="宋体" w:cs="宋体"/>
      <w:b/>
      <w:bCs/>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4"/>
      <w:szCs w:val="24"/>
    </w:rPr>
  </w:style>
  <w:style w:type="paragraph" w:styleId="3">
    <w:name w:val="toc 5"/>
    <w:basedOn w:val="1"/>
    <w:next w:val="1"/>
    <w:qFormat/>
    <w:uiPriority w:val="0"/>
    <w:pPr>
      <w:ind w:left="1680" w:leftChars="800"/>
    </w:p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footer"/>
    <w:basedOn w:val="1"/>
    <w:link w:val="18"/>
    <w:semiHidden/>
    <w:unhideWhenUsed/>
    <w:qFormat/>
    <w:uiPriority w:val="99"/>
    <w:pPr>
      <w:tabs>
        <w:tab w:val="center" w:pos="4153"/>
        <w:tab w:val="right" w:pos="8306"/>
      </w:tabs>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footnote text"/>
    <w:basedOn w:val="1"/>
    <w:next w:val="6"/>
    <w:semiHidden/>
    <w:qFormat/>
    <w:uiPriority w:val="0"/>
    <w:pPr>
      <w:snapToGrid w:val="0"/>
      <w:jc w:val="left"/>
    </w:pPr>
    <w:rPr>
      <w:sz w:val="18"/>
      <w:szCs w:val="18"/>
    </w:rPr>
  </w:style>
  <w:style w:type="paragraph" w:styleId="10">
    <w:name w:val="Normal (Web)"/>
    <w:basedOn w:val="1"/>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styleId="13">
    <w:name w:val="FollowedHyperlink"/>
    <w:basedOn w:val="12"/>
    <w:unhideWhenUsed/>
    <w:qFormat/>
    <w:uiPriority w:val="99"/>
    <w:rPr>
      <w:color w:val="800080"/>
      <w:u w:val="single"/>
    </w:rPr>
  </w:style>
  <w:style w:type="character" w:styleId="14">
    <w:name w:val="Hyperlink"/>
    <w:basedOn w:val="12"/>
    <w:unhideWhenUsed/>
    <w:qFormat/>
    <w:uiPriority w:val="99"/>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eastAsia="Arial"/>
    </w:rPr>
  </w:style>
  <w:style w:type="character" w:customStyle="1" w:styleId="17">
    <w:name w:val="页眉 Char"/>
    <w:basedOn w:val="12"/>
    <w:link w:val="8"/>
    <w:semiHidden/>
    <w:qFormat/>
    <w:uiPriority w:val="99"/>
    <w:rPr>
      <w:sz w:val="18"/>
      <w:szCs w:val="18"/>
    </w:rPr>
  </w:style>
  <w:style w:type="character" w:customStyle="1" w:styleId="18">
    <w:name w:val="页脚 Char"/>
    <w:basedOn w:val="12"/>
    <w:link w:val="7"/>
    <w:semiHidden/>
    <w:qFormat/>
    <w:uiPriority w:val="99"/>
    <w:rPr>
      <w:sz w:val="18"/>
      <w:szCs w:val="18"/>
    </w:rPr>
  </w:style>
  <w:style w:type="paragraph" w:customStyle="1" w:styleId="1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font01"/>
    <w:basedOn w:val="12"/>
    <w:qFormat/>
    <w:uiPriority w:val="0"/>
    <w:rPr>
      <w:rFonts w:hint="eastAsia" w:ascii="宋体" w:hAnsi="宋体" w:eastAsia="宋体" w:cs="宋体"/>
      <w:color w:val="000000"/>
      <w:sz w:val="22"/>
      <w:szCs w:val="22"/>
      <w:u w:val="none"/>
    </w:rPr>
  </w:style>
  <w:style w:type="character" w:customStyle="1" w:styleId="22">
    <w:name w:val="font21"/>
    <w:basedOn w:val="12"/>
    <w:qFormat/>
    <w:uiPriority w:val="0"/>
    <w:rPr>
      <w:rFonts w:hint="eastAsia" w:ascii="宋体" w:hAnsi="宋体" w:eastAsia="宋体" w:cs="宋体"/>
      <w:color w:val="000000"/>
      <w:sz w:val="24"/>
      <w:szCs w:val="24"/>
      <w:u w:val="none"/>
    </w:rPr>
  </w:style>
  <w:style w:type="character" w:customStyle="1" w:styleId="23">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12940</Words>
  <Characters>15583</Characters>
  <Lines>38</Lines>
  <Paragraphs>10</Paragraphs>
  <TotalTime>3</TotalTime>
  <ScaleCrop>false</ScaleCrop>
  <LinksUpToDate>false</LinksUpToDate>
  <CharactersWithSpaces>20715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2025-05-11T02:20:00Z</dcterms:created>
  <dc:creator>sea</dc:creator>
  <cp:lastModifiedBy>小二1392182268</cp:lastModifiedBy>
  <cp:lastPrinted>2025-09-28T01:53:26Z</cp:lastPrinted>
  <dcterms:modified xsi:type="dcterms:W3CDTF">2025-09-28T01:55:38Z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2025-04-29T09:33:17Z</vt:filetime>
  </property>
  <property fmtid="{D5CDD505-2E9C-101B-9397-08002B2CF9AE}" pid="4" name="UsrData">
    <vt:lpwstr>68102c5312ecda001f30ac0bwl</vt:lpwstr>
  </property>
  <property fmtid="{D5CDD505-2E9C-101B-9397-08002B2CF9AE}" pid="5" name="KSOTemplateDocerSaveRecord">
    <vt:lpwstr>eyJoZGlkIjoiODY4OWZjZTM2ZTI2ZTlhNzQxMzEyYzRlNGUyZGIxZDYiLCJ1c2VySWQiOiIxMTI4MjQwOTkyIn0=</vt:lpwstr>
  </property>
  <property fmtid="{D5CDD505-2E9C-101B-9397-08002B2CF9AE}" pid="6" name="KSOProductBuildVer">
    <vt:lpwstr>2052-11.1.0.14309</vt:lpwstr>
  </property>
  <property fmtid="{D5CDD505-2E9C-101B-9397-08002B2CF9AE}" pid="7" name="ICV">
    <vt:lpwstr>2416C09A794F4C228C74C131AA53C6F4_13</vt:lpwstr>
  </property>
</Properties>
</file>